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AC408">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1312"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3" name="图片 3" descr="E:/2025童话新产品/2025九寨壹号/行程包装/首图.jpg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5童话新产品/2025九寨壹号/行程包装/首图.jpg首图"/>
                    <pic:cNvPicPr>
                      <a:picLocks noChangeAspect="1"/>
                    </pic:cNvPicPr>
                  </pic:nvPicPr>
                  <pic:blipFill>
                    <a:blip r:embed="rId4"/>
                    <a:srcRect t="4" b="4"/>
                    <a:stretch>
                      <a:fillRect/>
                    </a:stretch>
                  </pic:blipFill>
                  <pic:spPr>
                    <a:xfrm>
                      <a:off x="0" y="0"/>
                      <a:ext cx="7562850" cy="10697210"/>
                    </a:xfrm>
                    <a:prstGeom prst="rect">
                      <a:avLst/>
                    </a:prstGeom>
                  </pic:spPr>
                </pic:pic>
              </a:graphicData>
            </a:graphic>
          </wp:anchor>
        </w:drawing>
      </w:r>
    </w:p>
    <w:p w14:paraId="4E99A70E">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2336"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6" name="图片 6" descr="E:/2025童话新产品/2025九寨壹号/行程包装/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5童话新产品/2025九寨壹号/行程包装/2.jpg2"/>
                    <pic:cNvPicPr>
                      <a:picLocks noChangeAspect="1"/>
                    </pic:cNvPicPr>
                  </pic:nvPicPr>
                  <pic:blipFill>
                    <a:blip r:embed="rId5"/>
                    <a:srcRect t="4" b="4"/>
                    <a:stretch>
                      <a:fillRect/>
                    </a:stretch>
                  </pic:blipFill>
                  <pic:spPr>
                    <a:xfrm>
                      <a:off x="0" y="0"/>
                      <a:ext cx="7562850" cy="10697210"/>
                    </a:xfrm>
                    <a:prstGeom prst="rect">
                      <a:avLst/>
                    </a:prstGeom>
                  </pic:spPr>
                </pic:pic>
              </a:graphicData>
            </a:graphic>
          </wp:anchor>
        </w:drawing>
      </w:r>
    </w:p>
    <w:p w14:paraId="04003103">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3360"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7" name="图片 7" descr="E:/2025童话新产品/2025九寨壹号/行程包装/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5童话新产品/2025九寨壹号/行程包装/3.jpg3"/>
                    <pic:cNvPicPr>
                      <a:picLocks noChangeAspect="1"/>
                    </pic:cNvPicPr>
                  </pic:nvPicPr>
                  <pic:blipFill>
                    <a:blip r:embed="rId6"/>
                    <a:srcRect t="4" b="4"/>
                    <a:stretch>
                      <a:fillRect/>
                    </a:stretch>
                  </pic:blipFill>
                  <pic:spPr>
                    <a:xfrm>
                      <a:off x="0" y="0"/>
                      <a:ext cx="7562850" cy="10697210"/>
                    </a:xfrm>
                    <a:prstGeom prst="rect">
                      <a:avLst/>
                    </a:prstGeom>
                  </pic:spPr>
                </pic:pic>
              </a:graphicData>
            </a:graphic>
          </wp:anchor>
        </w:drawing>
      </w:r>
    </w:p>
    <w:p w14:paraId="4CB2A3C2">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4384"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9" name="图片 9" descr="E:/2025童话新产品/2025九寨壹号/行程包装/行程.jpg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5童话新产品/2025九寨壹号/行程包装/行程.jpg行程"/>
                    <pic:cNvPicPr>
                      <a:picLocks noChangeAspect="1"/>
                    </pic:cNvPicPr>
                  </pic:nvPicPr>
                  <pic:blipFill>
                    <a:blip r:embed="rId7"/>
                    <a:srcRect t="4" b="4"/>
                    <a:stretch>
                      <a:fillRect/>
                    </a:stretch>
                  </pic:blipFill>
                  <pic:spPr>
                    <a:xfrm>
                      <a:off x="0" y="0"/>
                      <a:ext cx="7562850" cy="10697210"/>
                    </a:xfrm>
                    <a:prstGeom prst="rect">
                      <a:avLst/>
                    </a:prstGeom>
                  </pic:spPr>
                </pic:pic>
              </a:graphicData>
            </a:graphic>
          </wp:anchor>
        </w:drawing>
      </w:r>
    </w:p>
    <w:p w14:paraId="0718427A">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5408"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11" name="图片 11" descr="E:/2025童话新产品/2025九寨壹号/行程包装/旅拍.jpg旅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5童话新产品/2025九寨壹号/行程包装/旅拍.jpg旅拍"/>
                    <pic:cNvPicPr>
                      <a:picLocks noChangeAspect="1"/>
                    </pic:cNvPicPr>
                  </pic:nvPicPr>
                  <pic:blipFill>
                    <a:blip r:embed="rId8"/>
                    <a:srcRect t="4" b="4"/>
                    <a:stretch>
                      <a:fillRect/>
                    </a:stretch>
                  </pic:blipFill>
                  <pic:spPr>
                    <a:xfrm>
                      <a:off x="0" y="0"/>
                      <a:ext cx="7562850" cy="10697210"/>
                    </a:xfrm>
                    <a:prstGeom prst="rect">
                      <a:avLst/>
                    </a:prstGeom>
                  </pic:spPr>
                </pic:pic>
              </a:graphicData>
            </a:graphic>
          </wp:anchor>
        </w:drawing>
      </w:r>
    </w:p>
    <w:p w14:paraId="3AB2B46E">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7456"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12" name="图片 12" descr="E:/2025童话新产品/2025九寨壹号/行程包装/熊猫印象餐.jpg熊猫印象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5童话新产品/2025九寨壹号/行程包装/熊猫印象餐.jpg熊猫印象餐"/>
                    <pic:cNvPicPr>
                      <a:picLocks noChangeAspect="1"/>
                    </pic:cNvPicPr>
                  </pic:nvPicPr>
                  <pic:blipFill>
                    <a:blip r:embed="rId9"/>
                    <a:srcRect t="4" b="4"/>
                    <a:stretch>
                      <a:fillRect/>
                    </a:stretch>
                  </pic:blipFill>
                  <pic:spPr>
                    <a:xfrm>
                      <a:off x="0" y="0"/>
                      <a:ext cx="7562850" cy="10697210"/>
                    </a:xfrm>
                    <a:prstGeom prst="rect">
                      <a:avLst/>
                    </a:prstGeom>
                  </pic:spPr>
                </pic:pic>
              </a:graphicData>
            </a:graphic>
          </wp:anchor>
        </w:drawing>
      </w:r>
    </w:p>
    <w:p w14:paraId="70A95CAA">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8480"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14" name="图片 14" descr="E:/2025童话新产品/2025九寨壹号/行程包装/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25童话新产品/2025九寨壹号/行程包装/4.jpg4"/>
                    <pic:cNvPicPr>
                      <a:picLocks noChangeAspect="1"/>
                    </pic:cNvPicPr>
                  </pic:nvPicPr>
                  <pic:blipFill>
                    <a:blip r:embed="rId10"/>
                    <a:srcRect t="4" b="4"/>
                    <a:stretch>
                      <a:fillRect/>
                    </a:stretch>
                  </pic:blipFill>
                  <pic:spPr>
                    <a:xfrm>
                      <a:off x="0" y="0"/>
                      <a:ext cx="7562850" cy="10697210"/>
                    </a:xfrm>
                    <a:prstGeom prst="rect">
                      <a:avLst/>
                    </a:prstGeom>
                  </pic:spPr>
                </pic:pic>
              </a:graphicData>
            </a:graphic>
          </wp:anchor>
        </w:drawing>
      </w:r>
    </w:p>
    <w:p w14:paraId="76B69A1B">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color w:val="EDC977"/>
          <w:lang w:eastAsia="zh-CN"/>
        </w:rPr>
        <w:drawing>
          <wp:anchor distT="0" distB="0" distL="114300" distR="114300" simplePos="0" relativeHeight="251666432" behindDoc="1" locked="0" layoutInCell="1" allowOverlap="1">
            <wp:simplePos x="0" y="0"/>
            <wp:positionH relativeFrom="column">
              <wp:posOffset>-1137920</wp:posOffset>
            </wp:positionH>
            <wp:positionV relativeFrom="paragraph">
              <wp:posOffset>-923290</wp:posOffset>
            </wp:positionV>
            <wp:extent cx="7562850" cy="10697210"/>
            <wp:effectExtent l="0" t="0" r="0" b="8890"/>
            <wp:wrapNone/>
            <wp:docPr id="10" name="图片 10" descr="E:/2025童话新产品/2025九寨壹号/行程包装/风景.jpg风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5童话新产品/2025九寨壹号/行程包装/风景.jpg风景"/>
                    <pic:cNvPicPr>
                      <a:picLocks noChangeAspect="1"/>
                    </pic:cNvPicPr>
                  </pic:nvPicPr>
                  <pic:blipFill>
                    <a:blip r:embed="rId11"/>
                    <a:srcRect t="4" b="4"/>
                    <a:stretch>
                      <a:fillRect/>
                    </a:stretch>
                  </pic:blipFill>
                  <pic:spPr>
                    <a:xfrm>
                      <a:off x="0" y="0"/>
                      <a:ext cx="7562850" cy="10697210"/>
                    </a:xfrm>
                    <a:prstGeom prst="rect">
                      <a:avLst/>
                    </a:prstGeom>
                  </pic:spPr>
                </pic:pic>
              </a:graphicData>
            </a:graphic>
          </wp:anchor>
        </w:drawing>
      </w:r>
    </w:p>
    <w:tbl>
      <w:tblPr>
        <w:tblStyle w:val="3"/>
        <w:tblpPr w:leftFromText="180" w:rightFromText="180" w:vertAnchor="text" w:horzAnchor="page" w:tblpX="357" w:tblpY="1269"/>
        <w:tblOverlap w:val="never"/>
        <w:tblW w:w="11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760"/>
        <w:gridCol w:w="2319"/>
        <w:gridCol w:w="1806"/>
        <w:gridCol w:w="3772"/>
      </w:tblGrid>
      <w:tr w14:paraId="63B6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793" w:type="dxa"/>
            <w:vMerge w:val="restart"/>
            <w:shd w:val="clear" w:color="auto" w:fill="0B1D2C"/>
            <w:vAlign w:val="center"/>
          </w:tcPr>
          <w:p w14:paraId="15871D44">
            <w:pPr>
              <w:jc w:val="center"/>
              <w:rPr>
                <w:rFonts w:hint="default" w:asciiTheme="minorHAnsi" w:hAnsiTheme="minorHAnsi" w:eastAsiaTheme="minorEastAsia" w:cstheme="minorBidi"/>
                <w:color w:val="EDC977"/>
                <w:kern w:val="2"/>
                <w:sz w:val="21"/>
                <w:szCs w:val="24"/>
                <w:lang w:val="en-US" w:eastAsia="zh-CN" w:bidi="ar-SA"/>
              </w:rPr>
            </w:pPr>
            <w:r>
              <w:rPr>
                <w:rFonts w:hint="eastAsia" w:eastAsiaTheme="minorEastAsia"/>
                <w:color w:val="EDC977"/>
                <w:lang w:eastAsia="zh-CN"/>
              </w:rPr>
              <w:drawing>
                <wp:anchor distT="0" distB="0" distL="114300" distR="114300" simplePos="0" relativeHeight="251659264" behindDoc="1" locked="0" layoutInCell="1" allowOverlap="1">
                  <wp:simplePos x="0" y="0"/>
                  <wp:positionH relativeFrom="column">
                    <wp:posOffset>-220980</wp:posOffset>
                  </wp:positionH>
                  <wp:positionV relativeFrom="paragraph">
                    <wp:posOffset>-1714500</wp:posOffset>
                  </wp:positionV>
                  <wp:extent cx="7562850" cy="10697210"/>
                  <wp:effectExtent l="0" t="0" r="0" b="8890"/>
                  <wp:wrapNone/>
                  <wp:docPr id="4" name="图片 4"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5童话新产品/2025九寨壹号/行程包装/行程底版.jpg行程底版"/>
                          <pic:cNvPicPr>
                            <a:picLocks noChangeAspect="1"/>
                          </pic:cNvPicPr>
                        </pic:nvPicPr>
                        <pic:blipFill>
                          <a:blip r:embed="rId12"/>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cs="微软雅黑"/>
                <w:b/>
                <w:bCs/>
                <w:color w:val="EDC977"/>
                <w:kern w:val="2"/>
                <w:sz w:val="32"/>
                <w:szCs w:val="32"/>
                <w:lang w:val="en-US" w:eastAsia="zh-CN" w:bidi="ar-SA"/>
              </w:rPr>
              <w:t>D1</w:t>
            </w:r>
          </w:p>
        </w:tc>
        <w:tc>
          <w:tcPr>
            <w:tcW w:w="9657" w:type="dxa"/>
            <w:gridSpan w:val="4"/>
            <w:shd w:val="clear" w:color="auto" w:fill="0B1D2C"/>
            <w:vAlign w:val="center"/>
          </w:tcPr>
          <w:p w14:paraId="7832EA13">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微软雅黑" w:hAnsi="微软雅黑" w:eastAsia="微软雅黑" w:cs="微软雅黑"/>
                <w:color w:val="EDC977"/>
                <w:vertAlign w:val="baseline"/>
                <w:lang w:val="en-US" w:eastAsia="zh-CN"/>
              </w:rPr>
            </w:pPr>
            <w:r>
              <w:rPr>
                <w:rFonts w:hint="eastAsia" w:ascii="微软雅黑" w:hAnsi="微软雅黑" w:eastAsia="微软雅黑" w:cs="微软雅黑"/>
                <w:b/>
                <w:bCs/>
                <w:color w:val="EDC977"/>
                <w:sz w:val="24"/>
                <w:szCs w:val="24"/>
                <w:vertAlign w:val="baseline"/>
                <w:lang w:val="en-US" w:eastAsia="zh-CN"/>
              </w:rPr>
              <w:t>汉口</w:t>
            </w:r>
            <w:r>
              <w:rPr>
                <w:rFonts w:hint="eastAsia" w:ascii="微软雅黑" w:hAnsi="微软雅黑" w:eastAsia="微软雅黑" w:cs="微软雅黑"/>
                <w:b/>
                <w:bCs/>
                <w:color w:val="EDC977"/>
                <w:sz w:val="24"/>
                <w:szCs w:val="24"/>
                <w:vertAlign w:val="baseline"/>
                <w:lang w:eastAsia="zh-CN"/>
              </w:rPr>
              <w:t>——</w:t>
            </w:r>
            <w:r>
              <w:rPr>
                <w:rFonts w:hint="eastAsia" w:ascii="微软雅黑" w:hAnsi="微软雅黑" w:eastAsia="微软雅黑" w:cs="微软雅黑"/>
                <w:b/>
                <w:bCs/>
                <w:color w:val="EDC977"/>
                <w:sz w:val="24"/>
                <w:szCs w:val="24"/>
                <w:vertAlign w:val="baseline"/>
                <w:lang w:val="en-US" w:eastAsia="zh-CN"/>
              </w:rPr>
              <w:t>成都</w:t>
            </w:r>
          </w:p>
        </w:tc>
      </w:tr>
      <w:tr w14:paraId="6EEC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93" w:type="dxa"/>
            <w:vMerge w:val="continue"/>
            <w:shd w:val="clear" w:color="auto" w:fill="0B1D2C"/>
            <w:vAlign w:val="top"/>
          </w:tcPr>
          <w:p w14:paraId="42CC51A4">
            <w:pPr>
              <w:rPr>
                <w:rFonts w:hint="eastAsia" w:eastAsiaTheme="minorEastAsia"/>
                <w:color w:val="EDC977"/>
                <w:vertAlign w:val="baseline"/>
                <w:lang w:eastAsia="zh-CN"/>
              </w:rPr>
            </w:pPr>
          </w:p>
        </w:tc>
        <w:tc>
          <w:tcPr>
            <w:tcW w:w="1760" w:type="dxa"/>
            <w:shd w:val="clear" w:color="auto" w:fill="0B1D2C"/>
            <w:vAlign w:val="center"/>
          </w:tcPr>
          <w:p w14:paraId="11CAFFEB">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微软雅黑" w:hAnsi="微软雅黑" w:eastAsia="微软雅黑" w:cs="微软雅黑"/>
                <w:color w:val="EDC977"/>
                <w:vertAlign w:val="baseline"/>
                <w:lang w:val="en-US" w:eastAsia="zh-CN"/>
              </w:rPr>
            </w:pPr>
            <w:r>
              <w:rPr>
                <w:rFonts w:hint="eastAsia" w:ascii="微软雅黑" w:hAnsi="微软雅黑" w:eastAsia="微软雅黑" w:cs="微软雅黑"/>
                <w:color w:val="EDC977"/>
                <w:vertAlign w:val="baseline"/>
                <w:lang w:val="en-US" w:eastAsia="zh-CN"/>
              </w:rPr>
              <w:t>早：自理</w:t>
            </w:r>
          </w:p>
        </w:tc>
        <w:tc>
          <w:tcPr>
            <w:tcW w:w="2319" w:type="dxa"/>
            <w:shd w:val="clear" w:color="auto" w:fill="0B1D2C"/>
            <w:vAlign w:val="center"/>
          </w:tcPr>
          <w:p w14:paraId="605FF68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微软雅黑" w:hAnsi="微软雅黑" w:eastAsia="微软雅黑" w:cs="微软雅黑"/>
                <w:color w:val="EDC977"/>
                <w:vertAlign w:val="baseline"/>
                <w:lang w:eastAsia="zh-CN"/>
              </w:rPr>
            </w:pPr>
            <w:r>
              <w:rPr>
                <w:rFonts w:hint="eastAsia" w:ascii="微软雅黑" w:hAnsi="微软雅黑" w:eastAsia="微软雅黑" w:cs="微软雅黑"/>
                <w:color w:val="EDC977"/>
                <w:vertAlign w:val="baseline"/>
                <w:lang w:val="en-US" w:eastAsia="zh-CN"/>
              </w:rPr>
              <w:t>中：自理</w:t>
            </w:r>
          </w:p>
        </w:tc>
        <w:tc>
          <w:tcPr>
            <w:tcW w:w="1806" w:type="dxa"/>
            <w:shd w:val="clear" w:color="auto" w:fill="0B1D2C"/>
            <w:vAlign w:val="center"/>
          </w:tcPr>
          <w:p w14:paraId="62B7BBD4">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微软雅黑" w:hAnsi="微软雅黑" w:eastAsia="微软雅黑" w:cs="微软雅黑"/>
                <w:color w:val="EDC977"/>
                <w:vertAlign w:val="baseline"/>
                <w:lang w:eastAsia="zh-CN"/>
              </w:rPr>
            </w:pPr>
            <w:r>
              <w:rPr>
                <w:rFonts w:hint="eastAsia" w:ascii="微软雅黑" w:hAnsi="微软雅黑" w:eastAsia="微软雅黑" w:cs="微软雅黑"/>
                <w:color w:val="EDC977"/>
                <w:vertAlign w:val="baseline"/>
                <w:lang w:val="en-US" w:eastAsia="zh-CN"/>
              </w:rPr>
              <w:t>晚：自理</w:t>
            </w:r>
          </w:p>
        </w:tc>
        <w:tc>
          <w:tcPr>
            <w:tcW w:w="3772" w:type="dxa"/>
            <w:shd w:val="clear" w:color="auto" w:fill="0B1D2C"/>
            <w:vAlign w:val="center"/>
          </w:tcPr>
          <w:p w14:paraId="734628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EDC977"/>
                <w:vertAlign w:val="baseline"/>
                <w:lang w:val="en-US" w:eastAsia="zh-CN"/>
              </w:rPr>
            </w:pPr>
            <w:r>
              <w:rPr>
                <w:rFonts w:hint="eastAsia" w:ascii="微软雅黑" w:hAnsi="微软雅黑" w:eastAsia="微软雅黑" w:cs="微软雅黑"/>
                <w:color w:val="EDC977"/>
                <w:vertAlign w:val="baseline"/>
                <w:lang w:val="en-US" w:eastAsia="zh-CN"/>
              </w:rPr>
              <w:t>住宿：成都参考酒店</w:t>
            </w:r>
          </w:p>
        </w:tc>
      </w:tr>
      <w:tr w14:paraId="2EB1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11450" w:type="dxa"/>
            <w:gridSpan w:val="5"/>
            <w:vAlign w:val="top"/>
          </w:tcPr>
          <w:p w14:paraId="663AB29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抵达成都动车站，我们的工作人员恭候您的到来。抵达成都前，您会收到成都接信站息的短信通知或者电话联系（请保持您报名预留通讯工具的畅通）,如遇航班长时间延误，您可以先提前先告知成都机场的接机师傅，尽量避免出现抵达后误接或者其他延误您行程的情况出现。</w:t>
            </w:r>
          </w:p>
          <w:p w14:paraId="225BA4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sz w:val="24"/>
                <w:szCs w:val="24"/>
                <w:vertAlign w:val="baseline"/>
                <w:lang w:val="en-US" w:eastAsia="zh-CN"/>
              </w:rPr>
              <w:t>自由活动：今日没有行程安排（属自由活动时间段）自行至锦里，宽窄巷子去搜罗美味小吃。</w:t>
            </w:r>
          </w:p>
        </w:tc>
      </w:tr>
      <w:tr w14:paraId="0F48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793" w:type="dxa"/>
            <w:vMerge w:val="restart"/>
            <w:shd w:val="clear" w:color="auto" w:fill="212934" w:themeFill="text2" w:themeFillShade="7F"/>
            <w:vAlign w:val="center"/>
          </w:tcPr>
          <w:p w14:paraId="6043F1B8">
            <w:pPr>
              <w:spacing w:line="360" w:lineRule="auto"/>
              <w:jc w:val="center"/>
              <w:rPr>
                <w:rFonts w:hint="default"/>
                <w:color w:val="EDC977"/>
                <w:vertAlign w:val="baseline"/>
                <w:lang w:val="en-US" w:eastAsia="zh-CN"/>
              </w:rPr>
            </w:pPr>
            <w:r>
              <w:rPr>
                <w:rFonts w:hint="eastAsia" w:ascii="微软雅黑" w:hAnsi="微软雅黑" w:eastAsia="微软雅黑" w:cs="微软雅黑"/>
                <w:b/>
                <w:bCs/>
                <w:color w:val="EDC977"/>
                <w:sz w:val="32"/>
                <w:szCs w:val="32"/>
                <w:vertAlign w:val="baseline"/>
                <w:lang w:val="en-US" w:eastAsia="zh-CN"/>
              </w:rPr>
              <w:t>D2</w:t>
            </w:r>
          </w:p>
        </w:tc>
        <w:tc>
          <w:tcPr>
            <w:tcW w:w="9657" w:type="dxa"/>
            <w:gridSpan w:val="4"/>
            <w:shd w:val="clear" w:color="auto" w:fill="212934" w:themeFill="text2" w:themeFillShade="7F"/>
            <w:vAlign w:val="center"/>
          </w:tcPr>
          <w:p w14:paraId="0C021C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olor w:val="EDC977"/>
                <w:vertAlign w:val="baseline"/>
                <w:lang w:val="en-US" w:eastAsia="zh-CN"/>
              </w:rPr>
            </w:pPr>
            <w:r>
              <w:rPr>
                <w:rFonts w:hint="default"/>
                <w:b/>
                <w:bCs/>
                <w:color w:val="EDC977"/>
                <w:vertAlign w:val="baseline"/>
                <w:lang w:val="en-US" w:eastAsia="zh-CN"/>
              </w:rPr>
              <w:t>成都-都江堰—松潘古城-九寨沟</w:t>
            </w:r>
          </w:p>
        </w:tc>
      </w:tr>
      <w:tr w14:paraId="191E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continue"/>
            <w:shd w:val="clear" w:color="auto" w:fill="212934" w:themeFill="text2" w:themeFillShade="7F"/>
            <w:vAlign w:val="top"/>
          </w:tcPr>
          <w:p w14:paraId="224AAF82">
            <w:pPr>
              <w:spacing w:line="360" w:lineRule="auto"/>
              <w:jc w:val="center"/>
              <w:rPr>
                <w:color w:val="EDC977"/>
              </w:rPr>
            </w:pPr>
          </w:p>
        </w:tc>
        <w:tc>
          <w:tcPr>
            <w:tcW w:w="1760" w:type="dxa"/>
            <w:shd w:val="clear" w:color="auto" w:fill="212934" w:themeFill="text2" w:themeFillShade="7F"/>
            <w:vAlign w:val="center"/>
          </w:tcPr>
          <w:p w14:paraId="5DA2CBB6">
            <w:pPr>
              <w:spacing w:beforeLines="0" w:afterLines="0" w:line="360" w:lineRule="auto"/>
              <w:rPr>
                <w:rFonts w:hint="default" w:eastAsia="微软雅黑"/>
                <w:color w:val="EDC977"/>
                <w:vertAlign w:val="baseline"/>
                <w:lang w:val="en-US" w:eastAsia="zh-CN"/>
              </w:rPr>
            </w:pPr>
            <w:r>
              <w:rPr>
                <w:rFonts w:hint="eastAsia" w:ascii="微软雅黑" w:hAnsi="微软雅黑" w:eastAsia="微软雅黑"/>
                <w:color w:val="EDC977"/>
                <w:sz w:val="21"/>
              </w:rPr>
              <w:t>早：</w:t>
            </w:r>
            <w:r>
              <w:rPr>
                <w:rFonts w:hint="eastAsia" w:ascii="微软雅黑" w:hAnsi="微软雅黑" w:eastAsia="微软雅黑"/>
                <w:color w:val="EDC977"/>
                <w:sz w:val="21"/>
                <w:lang w:eastAsia="zh-CN"/>
              </w:rPr>
              <w:t>酒店</w:t>
            </w:r>
            <w:r>
              <w:rPr>
                <w:rFonts w:hint="eastAsia" w:ascii="微软雅黑" w:hAnsi="微软雅黑" w:eastAsia="微软雅黑"/>
                <w:color w:val="EDC977"/>
                <w:sz w:val="21"/>
                <w:lang w:val="en-US" w:eastAsia="zh-CN"/>
              </w:rPr>
              <w:t>早餐</w:t>
            </w:r>
          </w:p>
        </w:tc>
        <w:tc>
          <w:tcPr>
            <w:tcW w:w="2319" w:type="dxa"/>
            <w:shd w:val="clear" w:color="auto" w:fill="212934" w:themeFill="text2" w:themeFillShade="7F"/>
            <w:vAlign w:val="center"/>
          </w:tcPr>
          <w:p w14:paraId="0FC5D068">
            <w:pPr>
              <w:spacing w:beforeLines="0" w:afterLines="0" w:line="360" w:lineRule="auto"/>
              <w:rPr>
                <w:rFonts w:hint="eastAsia" w:eastAsia="微软雅黑"/>
                <w:color w:val="EDC977"/>
                <w:vertAlign w:val="baseline"/>
                <w:lang w:val="en-US" w:eastAsia="zh-CN"/>
              </w:rPr>
            </w:pPr>
            <w:r>
              <w:rPr>
                <w:rFonts w:hint="eastAsia" w:ascii="微软雅黑" w:hAnsi="微软雅黑" w:eastAsia="微软雅黑"/>
                <w:color w:val="EDC977"/>
                <w:sz w:val="21"/>
              </w:rPr>
              <w:t>中：</w:t>
            </w:r>
            <w:r>
              <w:rPr>
                <w:rFonts w:hint="eastAsia" w:ascii="微软雅黑" w:hAnsi="微软雅黑" w:eastAsia="微软雅黑"/>
                <w:color w:val="EDC977"/>
                <w:sz w:val="21"/>
                <w:lang w:eastAsia="zh-CN"/>
              </w:rPr>
              <w:t>熊猫小吃宴</w:t>
            </w:r>
          </w:p>
        </w:tc>
        <w:tc>
          <w:tcPr>
            <w:tcW w:w="1806" w:type="dxa"/>
            <w:shd w:val="clear" w:color="auto" w:fill="212934" w:themeFill="text2" w:themeFillShade="7F"/>
            <w:vAlign w:val="center"/>
          </w:tcPr>
          <w:p w14:paraId="2631E154">
            <w:pPr>
              <w:spacing w:beforeLines="0" w:afterLines="0" w:line="360" w:lineRule="auto"/>
              <w:rPr>
                <w:rFonts w:hint="eastAsia" w:eastAsia="微软雅黑"/>
                <w:color w:val="EDC977"/>
                <w:vertAlign w:val="baseline"/>
                <w:lang w:val="en-US" w:eastAsia="zh-CN"/>
              </w:rPr>
            </w:pPr>
            <w:r>
              <w:rPr>
                <w:rFonts w:hint="eastAsia" w:ascii="微软雅黑" w:hAnsi="微软雅黑" w:eastAsia="微软雅黑"/>
                <w:color w:val="EDC977"/>
                <w:sz w:val="21"/>
              </w:rPr>
              <w:t>晚：</w:t>
            </w:r>
            <w:r>
              <w:rPr>
                <w:rFonts w:hint="eastAsia" w:ascii="微软雅黑" w:hAnsi="微软雅黑" w:eastAsia="微软雅黑"/>
                <w:color w:val="EDC977"/>
                <w:sz w:val="21"/>
                <w:lang w:eastAsia="zh-CN"/>
              </w:rPr>
              <w:t>藏家土火锅</w:t>
            </w:r>
          </w:p>
        </w:tc>
        <w:tc>
          <w:tcPr>
            <w:tcW w:w="3772" w:type="dxa"/>
            <w:shd w:val="clear" w:color="auto" w:fill="212934" w:themeFill="text2" w:themeFillShade="7F"/>
            <w:vAlign w:val="center"/>
          </w:tcPr>
          <w:p w14:paraId="2A455BB6">
            <w:pPr>
              <w:spacing w:beforeLines="0" w:afterLines="0" w:line="360" w:lineRule="auto"/>
              <w:jc w:val="center"/>
              <w:rPr>
                <w:rFonts w:hint="eastAsia" w:eastAsia="微软雅黑"/>
                <w:color w:val="EDC977"/>
                <w:vertAlign w:val="baseline"/>
                <w:lang w:val="en-US" w:eastAsia="zh-CN"/>
              </w:rPr>
            </w:pPr>
            <w:r>
              <w:rPr>
                <w:rFonts w:hint="eastAsia" w:ascii="微软雅黑" w:hAnsi="微软雅黑" w:eastAsia="微软雅黑"/>
                <w:color w:val="EDC977"/>
                <w:sz w:val="21"/>
              </w:rPr>
              <w:t>住宿：</w:t>
            </w:r>
            <w:r>
              <w:rPr>
                <w:rFonts w:hint="eastAsia" w:ascii="微软雅黑" w:hAnsi="微软雅黑" w:eastAsia="微软雅黑"/>
                <w:color w:val="EDC977"/>
                <w:sz w:val="21"/>
                <w:lang w:eastAsia="zh-CN"/>
              </w:rPr>
              <w:t>九寨沟参考酒店</w:t>
            </w:r>
          </w:p>
        </w:tc>
      </w:tr>
      <w:tr w14:paraId="5DBB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11450" w:type="dxa"/>
            <w:gridSpan w:val="5"/>
            <w:vAlign w:val="top"/>
          </w:tcPr>
          <w:p w14:paraId="332632FB">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sz w:val="21"/>
                <w:lang w:val="en-US" w:eastAsia="zh-CN"/>
              </w:rPr>
              <w:t>&gt;&gt;&gt;&gt; 早上 6：00 成都三环内接人，如遇旺季，接早时间提前2-3 小时，三环路以外客人可自行前往集合地点或者到达三环路以内上车（出发前一天晚上 22:00 前有工作人员与您联系，师傅会根据客人住处的远近安排接客人时间；每位客人上车时间不同，位置自选，请予以理解。接早小车一人一座，不限车型）</w:t>
            </w:r>
          </w:p>
          <w:p w14:paraId="088A7170">
            <w:pPr>
              <w:keepNext w:val="0"/>
              <w:keepLines w:val="0"/>
              <w:pageBreakBefore w:val="0"/>
              <w:widowControl w:val="0"/>
              <w:kinsoku/>
              <w:wordWrap/>
              <w:overflowPunct/>
              <w:topLinePunct w:val="0"/>
              <w:autoSpaceDE/>
              <w:autoSpaceDN/>
              <w:bidi w:val="0"/>
              <w:adjustRightInd/>
              <w:snapToGrid/>
              <w:spacing w:beforeLines="0" w:afterLines="0" w:line="360" w:lineRule="auto"/>
              <w:ind w:firstLine="72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cs="微软雅黑"/>
                <w:sz w:val="24"/>
                <w:szCs w:val="24"/>
                <w:lang w:val="en-US" w:eastAsia="zh-CN"/>
              </w:rPr>
              <w:t>早餐后（桌早或路早）</w:t>
            </w:r>
            <w:r>
              <w:rPr>
                <w:rFonts w:hint="eastAsia" w:ascii="微软雅黑" w:hAnsi="微软雅黑" w:eastAsia="微软雅黑"/>
                <w:sz w:val="21"/>
                <w:lang w:val="en-US" w:eastAsia="zh-CN"/>
              </w:rPr>
              <w:t>统一集合后出发，经成都平原到达</w:t>
            </w:r>
            <w:r>
              <w:rPr>
                <w:rFonts w:hint="eastAsia" w:ascii="微软雅黑" w:hAnsi="微软雅黑" w:eastAsia="微软雅黑"/>
                <w:b/>
                <w:bCs/>
                <w:sz w:val="21"/>
                <w:lang w:val="en-US" w:eastAsia="zh-CN"/>
              </w:rPr>
              <w:t>【都江堰风景区】</w:t>
            </w:r>
            <w:r>
              <w:rPr>
                <w:rFonts w:hint="eastAsia" w:ascii="微软雅黑" w:hAnsi="微软雅黑" w:eastAsia="微软雅黑"/>
                <w:sz w:val="21"/>
                <w:lang w:val="en-US" w:eastAsia="zh-CN"/>
              </w:rPr>
              <w:t>（游览约150分钟）（观光车25元、耳麦5元、扶梯40元自理）—都江堰位于四川省成都市都江堰市(原灌县)城西，坐落在成都平原西部的岷江上距成都市区约50公里，距离青城山风景区20公里。 </w:t>
            </w:r>
          </w:p>
          <w:p w14:paraId="5CFAF747">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sz w:val="21"/>
                <w:lang w:val="en-US" w:eastAsia="zh-CN"/>
              </w:rPr>
              <w:t>&gt;&gt;游览结束后乘车前往都江堰享用当地特色午餐-熊猫小吃宴。</w:t>
            </w:r>
          </w:p>
          <w:p w14:paraId="3D5EB89A">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sz w:val="21"/>
                <w:lang w:val="en-US" w:eastAsia="zh-CN"/>
              </w:rPr>
              <w:t>&gt;&gt;约13:00午餐结束乘车经茂县前往松潘，游览素有“川西门户”、“高原古城”之称的</w:t>
            </w:r>
            <w:r>
              <w:rPr>
                <w:rFonts w:hint="eastAsia" w:ascii="微软雅黑" w:hAnsi="微软雅黑" w:eastAsia="微软雅黑"/>
                <w:b/>
                <w:bCs/>
                <w:sz w:val="21"/>
                <w:lang w:val="en-US" w:eastAsia="zh-CN"/>
              </w:rPr>
              <w:t>【松潘古城】</w:t>
            </w:r>
            <w:r>
              <w:rPr>
                <w:rFonts w:hint="eastAsia" w:ascii="微软雅黑" w:hAnsi="微软雅黑" w:eastAsia="微软雅黑"/>
                <w:sz w:val="21"/>
                <w:lang w:val="en-US" w:eastAsia="zh-CN"/>
              </w:rPr>
              <w:t>（不含上城墙费用：40元/人（游览30分钟）</w:t>
            </w:r>
          </w:p>
          <w:p w14:paraId="20C10BCB">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sz w:val="21"/>
                <w:lang w:val="en-US" w:eastAsia="zh-CN"/>
              </w:rPr>
              <w:t>&gt;&gt;约17:30游览结束后乘车经川主寺小镇抵达九寨沟酒店。</w:t>
            </w:r>
          </w:p>
          <w:p w14:paraId="5D71DF3F">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b/>
                <w:bCs/>
                <w:sz w:val="21"/>
                <w:lang w:val="en-US" w:eastAsia="zh-CN"/>
              </w:rPr>
              <w:t>【都江堰】</w:t>
            </w:r>
            <w:r>
              <w:rPr>
                <w:rFonts w:hint="eastAsia" w:ascii="微软雅黑" w:hAnsi="微软雅黑" w:eastAsia="微软雅黑"/>
                <w:sz w:val="21"/>
                <w:lang w:val="en-US" w:eastAsia="zh-CN"/>
              </w:rPr>
              <w:t>都江堰是世界文化遗产（2000年被联合国教科文组织列入“世界文化遗产”名录）、世界自然遗产（四川大熊猫栖息地）、全国重点文物保护单位、国家级风景名胜区、国家AAAAA级旅游景区。都江堰位于四川省成都市都江堰市城西，坐落在成都平原</w:t>
            </w:r>
            <w:r>
              <w:rPr>
                <w:rFonts w:hint="eastAsia" w:eastAsiaTheme="minorEastAsia"/>
                <w:color w:val="EDC977"/>
                <w:lang w:eastAsia="zh-CN"/>
              </w:rPr>
              <w:drawing>
                <wp:anchor distT="0" distB="0" distL="114300" distR="114300" simplePos="0" relativeHeight="251669504" behindDoc="1" locked="0" layoutInCell="1" allowOverlap="1">
                  <wp:simplePos x="0" y="0"/>
                  <wp:positionH relativeFrom="column">
                    <wp:posOffset>-220980</wp:posOffset>
                  </wp:positionH>
                  <wp:positionV relativeFrom="paragraph">
                    <wp:posOffset>-908685</wp:posOffset>
                  </wp:positionV>
                  <wp:extent cx="7562850" cy="10697210"/>
                  <wp:effectExtent l="0" t="0" r="0" b="8890"/>
                  <wp:wrapNone/>
                  <wp:docPr id="1" name="图片 1"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sz w:val="21"/>
                <w:lang w:val="en-US" w:eastAsia="zh-CN"/>
              </w:rPr>
              <w:t>西部的岷江上，始建于秦昭王末年（约公元前256～前251），是蜀郡太守李冰父子在前人鳖灵开凿的基础上组织修建的大型水利工程，由分水鱼嘴、飞沙堰、宝瓶口等部分组成，两千多年来一直发挥着防洪灌溉的作</w:t>
            </w:r>
            <w:r>
              <w:rPr>
                <w:rFonts w:hint="eastAsia" w:eastAsiaTheme="minorEastAsia"/>
                <w:color w:val="EDC977"/>
                <w:lang w:eastAsia="zh-CN"/>
              </w:rPr>
              <w:drawing>
                <wp:anchor distT="0" distB="0" distL="114300" distR="114300" simplePos="0" relativeHeight="251670528" behindDoc="1" locked="0" layoutInCell="1" allowOverlap="1">
                  <wp:simplePos x="0" y="0"/>
                  <wp:positionH relativeFrom="column">
                    <wp:posOffset>-213360</wp:posOffset>
                  </wp:positionH>
                  <wp:positionV relativeFrom="paragraph">
                    <wp:posOffset>-910590</wp:posOffset>
                  </wp:positionV>
                  <wp:extent cx="7562850" cy="10697210"/>
                  <wp:effectExtent l="0" t="0" r="0" b="8890"/>
                  <wp:wrapNone/>
                  <wp:docPr id="17" name="图片 17"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sz w:val="21"/>
                <w:lang w:val="en-US" w:eastAsia="zh-CN"/>
              </w:rPr>
              <w:t>用，使成都平原成为水旱从人、沃野千里的"天府之国"，至今灌区已达30余县市、面积近千万亩，是全世界迄今为止，年代最久、唯一留存、仍在一直使用、以无坝引水为特征的宏大水利工程，凝聚着中国古代劳动人民勤劳、勇敢、智慧的结晶。都江堰风景区主要有伏龙观、二王庙、安澜索桥、玉垒关、离堆公园、玉垒山公园、玉女峰、灵岩寺、普照寺、翠月湖、都江堰水利工程等。2018年8月13日，加拿大萨斯卡通召开的国际灌排委员会第69届国际执行理事会，执理会全体会议上公布了2018年(第五批)世界灌溉工程遗产名录。其中中国的都江堰等4个项目全部申报成功。</w:t>
            </w:r>
          </w:p>
          <w:p w14:paraId="2EA83098">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b/>
                <w:bCs/>
                <w:sz w:val="21"/>
                <w:lang w:val="en-US" w:eastAsia="zh-CN"/>
              </w:rPr>
              <w:t>【松潘古城】</w:t>
            </w:r>
            <w:r>
              <w:rPr>
                <w:rFonts w:hint="eastAsia" w:ascii="微软雅黑" w:hAnsi="微软雅黑" w:eastAsia="微软雅黑"/>
                <w:sz w:val="21"/>
                <w:lang w:val="en-US" w:eastAsia="zh-CN"/>
              </w:rPr>
              <w:t>始建于唐文宗太和三年（公元829年），剑南节度使李德裕在此筹边时筑柔远城。到了明洪武十二年（公元）1379年）建立松潘卫后，将松潘古城墙进行扩修，到了明嘉庆五年的时候，形成了城墙的整体规模。城墙总围长达6.2公里，整体布局内城跨江沿山构筑，呈等腰三角形，并筑有外城和瓮城，与古城的地形、山势、水流非常巧妙的融合在一起；自古以来即为川、甘、青三省商贸集散地，有“川西北重镇”、“边陲重镇”、“战略要冲”之称。</w:t>
            </w:r>
          </w:p>
        </w:tc>
      </w:tr>
      <w:tr w14:paraId="6065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restart"/>
            <w:shd w:val="clear" w:color="auto" w:fill="212934" w:themeFill="text2" w:themeFillShade="7F"/>
            <w:vAlign w:val="center"/>
          </w:tcPr>
          <w:p w14:paraId="3290CD44">
            <w:pPr>
              <w:spacing w:line="360" w:lineRule="auto"/>
              <w:jc w:val="center"/>
              <w:rPr>
                <w:rFonts w:hint="default" w:eastAsiaTheme="minorEastAsia"/>
                <w:color w:val="EDC977"/>
                <w:lang w:val="en-US" w:eastAsia="zh-CN"/>
              </w:rPr>
            </w:pPr>
            <w:r>
              <w:rPr>
                <w:rFonts w:hint="eastAsia" w:ascii="微软雅黑" w:hAnsi="微软雅黑" w:eastAsia="微软雅黑" w:cs="微软雅黑"/>
                <w:b/>
                <w:bCs/>
                <w:color w:val="EDC977"/>
                <w:sz w:val="32"/>
                <w:szCs w:val="32"/>
                <w:lang w:val="en-US" w:eastAsia="zh-CN"/>
              </w:rPr>
              <w:t>D3</w:t>
            </w:r>
          </w:p>
        </w:tc>
        <w:tc>
          <w:tcPr>
            <w:tcW w:w="9657" w:type="dxa"/>
            <w:gridSpan w:val="4"/>
            <w:shd w:val="clear" w:color="auto" w:fill="212934" w:themeFill="text2" w:themeFillShade="7F"/>
            <w:vAlign w:val="center"/>
          </w:tcPr>
          <w:p w14:paraId="6D1C27EC">
            <w:pPr>
              <w:spacing w:beforeLines="0" w:afterLines="0" w:line="360" w:lineRule="auto"/>
              <w:jc w:val="both"/>
              <w:rPr>
                <w:rFonts w:hint="default" w:ascii="微软雅黑" w:hAnsi="微软雅黑" w:eastAsia="微软雅黑"/>
                <w:color w:val="EDC977"/>
                <w:sz w:val="21"/>
                <w:lang w:val="en-US" w:eastAsia="zh-CN"/>
              </w:rPr>
            </w:pPr>
            <w:r>
              <w:rPr>
                <w:rFonts w:hint="eastAsia" w:ascii="微软雅黑" w:hAnsi="微软雅黑" w:eastAsia="微软雅黑"/>
                <w:b/>
                <w:bCs/>
                <w:color w:val="EDC977"/>
                <w:sz w:val="24"/>
                <w:szCs w:val="24"/>
                <w:lang w:val="en-US" w:eastAsia="zh-CN"/>
              </w:rPr>
              <w:t>九寨沟一日游</w:t>
            </w:r>
          </w:p>
        </w:tc>
      </w:tr>
      <w:tr w14:paraId="420E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continue"/>
            <w:shd w:val="clear" w:color="auto" w:fill="212934" w:themeFill="text2" w:themeFillShade="7F"/>
            <w:vAlign w:val="top"/>
          </w:tcPr>
          <w:p w14:paraId="2309D7E0">
            <w:pPr>
              <w:spacing w:line="360" w:lineRule="auto"/>
              <w:jc w:val="center"/>
              <w:rPr>
                <w:color w:val="EDC977"/>
              </w:rPr>
            </w:pPr>
          </w:p>
        </w:tc>
        <w:tc>
          <w:tcPr>
            <w:tcW w:w="1760" w:type="dxa"/>
            <w:shd w:val="clear" w:color="auto" w:fill="212934" w:themeFill="text2" w:themeFillShade="7F"/>
            <w:vAlign w:val="center"/>
          </w:tcPr>
          <w:p w14:paraId="43961F4B">
            <w:pPr>
              <w:spacing w:beforeLines="0" w:afterLines="0" w:line="360" w:lineRule="auto"/>
              <w:rPr>
                <w:rFonts w:hint="eastAsia" w:ascii="微软雅黑" w:hAnsi="微软雅黑" w:eastAsia="微软雅黑"/>
                <w:color w:val="EDC977"/>
                <w:sz w:val="21"/>
              </w:rPr>
            </w:pPr>
            <w:r>
              <w:rPr>
                <w:rFonts w:hint="eastAsia" w:ascii="微软雅黑" w:hAnsi="微软雅黑" w:eastAsia="微软雅黑"/>
                <w:color w:val="EDC977"/>
                <w:sz w:val="21"/>
              </w:rPr>
              <w:t>早：</w:t>
            </w:r>
            <w:r>
              <w:rPr>
                <w:rFonts w:hint="eastAsia" w:ascii="微软雅黑" w:hAnsi="微软雅黑" w:eastAsia="微软雅黑"/>
                <w:color w:val="EDC977"/>
                <w:sz w:val="21"/>
                <w:lang w:eastAsia="zh-CN"/>
              </w:rPr>
              <w:t>酒店</w:t>
            </w:r>
            <w:r>
              <w:rPr>
                <w:rFonts w:hint="eastAsia" w:ascii="微软雅黑" w:hAnsi="微软雅黑" w:eastAsia="微软雅黑"/>
                <w:color w:val="EDC977"/>
                <w:sz w:val="21"/>
                <w:lang w:val="en-US" w:eastAsia="zh-CN"/>
              </w:rPr>
              <w:t>早餐</w:t>
            </w:r>
          </w:p>
        </w:tc>
        <w:tc>
          <w:tcPr>
            <w:tcW w:w="2319" w:type="dxa"/>
            <w:shd w:val="clear" w:color="auto" w:fill="212934" w:themeFill="text2" w:themeFillShade="7F"/>
            <w:vAlign w:val="center"/>
          </w:tcPr>
          <w:p w14:paraId="598F9CAF">
            <w:pPr>
              <w:spacing w:beforeLines="0" w:afterLines="0" w:line="360" w:lineRule="auto"/>
              <w:rPr>
                <w:rFonts w:hint="default" w:ascii="微软雅黑" w:hAnsi="微软雅黑" w:eastAsia="微软雅黑"/>
                <w:color w:val="EDC977"/>
                <w:sz w:val="21"/>
                <w:lang w:val="en-US" w:eastAsia="zh-CN"/>
              </w:rPr>
            </w:pPr>
            <w:r>
              <w:rPr>
                <w:rFonts w:hint="eastAsia" w:ascii="微软雅黑" w:hAnsi="微软雅黑" w:eastAsia="微软雅黑"/>
                <w:color w:val="EDC977"/>
                <w:sz w:val="21"/>
              </w:rPr>
              <w:t>中：</w:t>
            </w:r>
            <w:r>
              <w:rPr>
                <w:rFonts w:hint="eastAsia" w:ascii="微软雅黑" w:hAnsi="微软雅黑" w:eastAsia="微软雅黑"/>
                <w:color w:val="EDC977"/>
                <w:sz w:val="21"/>
                <w:lang w:val="en-US" w:eastAsia="zh-CN"/>
              </w:rPr>
              <w:t>自理</w:t>
            </w:r>
          </w:p>
        </w:tc>
        <w:tc>
          <w:tcPr>
            <w:tcW w:w="1806" w:type="dxa"/>
            <w:shd w:val="clear" w:color="auto" w:fill="212934" w:themeFill="text2" w:themeFillShade="7F"/>
            <w:vAlign w:val="center"/>
          </w:tcPr>
          <w:p w14:paraId="4644F5F5">
            <w:pPr>
              <w:spacing w:beforeLines="0" w:afterLines="0" w:line="360" w:lineRule="auto"/>
              <w:rPr>
                <w:rFonts w:hint="eastAsia" w:ascii="微软雅黑" w:hAnsi="微软雅黑" w:eastAsia="微软雅黑"/>
                <w:color w:val="EDC977"/>
                <w:sz w:val="21"/>
                <w:lang w:val="en-US" w:eastAsia="zh-CN"/>
              </w:rPr>
            </w:pPr>
            <w:r>
              <w:rPr>
                <w:rFonts w:hint="eastAsia" w:ascii="微软雅黑" w:hAnsi="微软雅黑" w:eastAsia="微软雅黑"/>
                <w:color w:val="EDC977"/>
                <w:sz w:val="21"/>
              </w:rPr>
              <w:t>晚：</w:t>
            </w:r>
            <w:r>
              <w:rPr>
                <w:rFonts w:hint="eastAsia" w:ascii="微软雅黑" w:hAnsi="微软雅黑" w:eastAsia="微软雅黑"/>
                <w:color w:val="EDC977"/>
                <w:sz w:val="21"/>
                <w:lang w:eastAsia="zh-CN"/>
              </w:rPr>
              <w:t>酒店晚餐</w:t>
            </w:r>
          </w:p>
        </w:tc>
        <w:tc>
          <w:tcPr>
            <w:tcW w:w="3772" w:type="dxa"/>
            <w:shd w:val="clear" w:color="auto" w:fill="212934" w:themeFill="text2" w:themeFillShade="7F"/>
            <w:vAlign w:val="center"/>
          </w:tcPr>
          <w:p w14:paraId="09C10B85">
            <w:pPr>
              <w:spacing w:beforeLines="0" w:afterLines="0" w:line="360" w:lineRule="auto"/>
              <w:jc w:val="center"/>
              <w:rPr>
                <w:rFonts w:hint="default" w:ascii="微软雅黑" w:hAnsi="微软雅黑" w:eastAsia="微软雅黑"/>
                <w:color w:val="EDC977"/>
                <w:sz w:val="21"/>
                <w:lang w:val="en-US"/>
              </w:rPr>
            </w:pPr>
            <w:r>
              <w:rPr>
                <w:rFonts w:hint="eastAsia" w:ascii="微软雅黑" w:hAnsi="微软雅黑" w:eastAsia="微软雅黑"/>
                <w:color w:val="EDC977"/>
                <w:sz w:val="21"/>
              </w:rPr>
              <w:t>住宿：</w:t>
            </w:r>
            <w:r>
              <w:rPr>
                <w:rFonts w:hint="eastAsia" w:ascii="微软雅黑" w:hAnsi="微软雅黑" w:eastAsia="微软雅黑"/>
                <w:color w:val="EDC977"/>
                <w:sz w:val="21"/>
                <w:lang w:eastAsia="zh-CN"/>
              </w:rPr>
              <w:t>九寨沟</w:t>
            </w:r>
            <w:r>
              <w:rPr>
                <w:rFonts w:hint="eastAsia" w:ascii="微软雅黑" w:hAnsi="微软雅黑" w:eastAsia="微软雅黑"/>
                <w:color w:val="EDC977"/>
                <w:sz w:val="21"/>
                <w:lang w:val="en-US" w:eastAsia="zh-CN"/>
              </w:rPr>
              <w:t>参考酒店</w:t>
            </w:r>
          </w:p>
        </w:tc>
      </w:tr>
      <w:tr w14:paraId="1074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11450" w:type="dxa"/>
            <w:gridSpan w:val="5"/>
            <w:vAlign w:val="top"/>
          </w:tcPr>
          <w:p w14:paraId="5C571BD1">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&gt;&gt;约0</w:t>
            </w:r>
            <w:r>
              <w:rPr>
                <w:rFonts w:hint="eastAsia" w:ascii="微软雅黑" w:hAnsi="微软雅黑" w:eastAsia="微软雅黑"/>
                <w:sz w:val="21"/>
                <w:lang w:val="en-US" w:eastAsia="zh-CN"/>
              </w:rPr>
              <w:t>7</w:t>
            </w:r>
            <w:r>
              <w:rPr>
                <w:rFonts w:hint="eastAsia" w:ascii="微软雅黑" w:hAnsi="微软雅黑" w:eastAsia="微软雅黑"/>
                <w:sz w:val="21"/>
              </w:rPr>
              <w:t>：00酒店早餐后统一出发到</w:t>
            </w:r>
            <w:r>
              <w:rPr>
                <w:rFonts w:hint="eastAsia" w:ascii="微软雅黑" w:hAnsi="微软雅黑" w:eastAsia="微软雅黑"/>
                <w:b/>
                <w:bCs/>
                <w:sz w:val="21"/>
              </w:rPr>
              <w:t>九寨沟</w:t>
            </w:r>
            <w:r>
              <w:rPr>
                <w:rFonts w:hint="eastAsia" w:ascii="微软雅黑" w:hAnsi="微软雅黑" w:eastAsia="微软雅黑"/>
                <w:sz w:val="21"/>
              </w:rPr>
              <w:t>停车场（行车时间约10分钟左右，视酒店远近而定</w:t>
            </w:r>
            <w:r>
              <w:rPr>
                <w:rFonts w:hint="eastAsia" w:ascii="微软雅黑" w:hAnsi="微软雅黑" w:eastAsia="微软雅黑"/>
                <w:sz w:val="21"/>
                <w:lang w:eastAsia="zh-CN"/>
              </w:rPr>
              <w:t>，自理景区观光车</w:t>
            </w:r>
            <w:r>
              <w:rPr>
                <w:rFonts w:hint="eastAsia" w:ascii="微软雅黑" w:hAnsi="微软雅黑" w:eastAsia="微软雅黑"/>
                <w:sz w:val="21"/>
                <w:lang w:val="en-US" w:eastAsia="zh-CN"/>
              </w:rPr>
              <w:t>90元/人，景区保险10元/人</w:t>
            </w:r>
            <w:r>
              <w:rPr>
                <w:rFonts w:hint="eastAsia" w:ascii="微软雅黑" w:hAnsi="微软雅黑" w:eastAsia="微软雅黑"/>
                <w:sz w:val="21"/>
              </w:rPr>
              <w:t>）从蓝天停车场或明华停车场步行800-1000米，景区门口取票依序排队乘坐观光车进沟；</w:t>
            </w:r>
          </w:p>
          <w:p w14:paraId="116533C0">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  2018年拟开放区域：总面积108平方公里，包括景区内漳扎镇、羊峒至则渣洼沟长海观光两岸约一公里，以及羊峒至扎如沟郭都寨附近两岸一公里区域。而包括火花海、诺日朗瀑布在内的开放游览区则在保障区内安全和接待能力恢复的前提下，有序组织游览，根据保护与修复的具体情况逐年增加面积。</w:t>
            </w:r>
          </w:p>
          <w:p w14:paraId="4B4C8B38">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  按预约时间准时返回酒店入住并享用晚餐</w:t>
            </w:r>
          </w:p>
          <w:p w14:paraId="4A668D56">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【温馨提示】</w:t>
            </w:r>
          </w:p>
          <w:p w14:paraId="6B5F672D">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1、因沟内游览无导游陪同，故不提供讲解服务，观光车上有相关讲解，还请见谅；</w:t>
            </w:r>
          </w:p>
          <w:p w14:paraId="016637D6">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2、因中餐自理，可自带干粮或在景区唯一的餐厅用餐，餐厅可提供不同价位的自助餐（餐标最低60元起自理）；</w:t>
            </w:r>
          </w:p>
          <w:p w14:paraId="1AB398DB">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bookmarkStart w:id="0" w:name="_GoBack"/>
            <w:r>
              <w:rPr>
                <w:rFonts w:hint="eastAsia" w:eastAsiaTheme="minorEastAsia"/>
                <w:color w:val="EDC977"/>
                <w:lang w:eastAsia="zh-CN"/>
              </w:rPr>
              <w:drawing>
                <wp:anchor distT="0" distB="0" distL="114300" distR="114300" simplePos="0" relativeHeight="251671552" behindDoc="1" locked="0" layoutInCell="1" allowOverlap="1">
                  <wp:simplePos x="0" y="0"/>
                  <wp:positionH relativeFrom="column">
                    <wp:posOffset>-219710</wp:posOffset>
                  </wp:positionH>
                  <wp:positionV relativeFrom="paragraph">
                    <wp:posOffset>-908050</wp:posOffset>
                  </wp:positionV>
                  <wp:extent cx="7562850" cy="10697210"/>
                  <wp:effectExtent l="0" t="0" r="0" b="8890"/>
                  <wp:wrapNone/>
                  <wp:docPr id="18" name="图片 18"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bookmarkEnd w:id="0"/>
            <w:r>
              <w:rPr>
                <w:rFonts w:hint="eastAsia" w:ascii="微软雅黑" w:hAnsi="微软雅黑" w:eastAsia="微软雅黑"/>
                <w:sz w:val="21"/>
              </w:rPr>
              <w:t>3、请遵守景区管理制度，禁止抽烟、乱丢垃圾，违者最低罚款500元起，只有餐厅的一角有唯一的抽烟区；</w:t>
            </w:r>
          </w:p>
          <w:p w14:paraId="563D9FF8">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4、九寨沟景区海拔2500-3100米，游览时请选择从海拔高的景点往下步行，不要做剧烈运动，以免高原反应；</w:t>
            </w:r>
          </w:p>
          <w:p w14:paraId="17E8B7BA">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5、景区内每个景点都有一个观光车上下的车站请在车站上车，每辆观光车都有讲解导游，景区内可跟团游览或自行游览（自行游览则无导游陪同），自行游览的游客请在导游规定的时间内集合以免错过返回酒店的班车 。</w:t>
            </w:r>
          </w:p>
        </w:tc>
      </w:tr>
      <w:tr w14:paraId="55B2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restart"/>
            <w:shd w:val="clear" w:color="auto" w:fill="212934" w:themeFill="text2" w:themeFillShade="7F"/>
            <w:vAlign w:val="center"/>
          </w:tcPr>
          <w:p w14:paraId="7EB90541">
            <w:pPr>
              <w:spacing w:line="360" w:lineRule="auto"/>
              <w:jc w:val="center"/>
              <w:rPr>
                <w:rFonts w:hint="default" w:eastAsiaTheme="minorEastAsia"/>
                <w:color w:val="EDC977"/>
                <w:lang w:val="en-US" w:eastAsia="zh-CN"/>
              </w:rPr>
            </w:pPr>
            <w:r>
              <w:rPr>
                <w:rFonts w:hint="eastAsia" w:ascii="微软雅黑" w:hAnsi="微软雅黑" w:eastAsia="微软雅黑" w:cs="微软雅黑"/>
                <w:b/>
                <w:bCs/>
                <w:color w:val="EDC977"/>
                <w:sz w:val="32"/>
                <w:szCs w:val="32"/>
                <w:lang w:val="en-US" w:eastAsia="zh-CN"/>
              </w:rPr>
              <w:t>D4</w:t>
            </w:r>
          </w:p>
        </w:tc>
        <w:tc>
          <w:tcPr>
            <w:tcW w:w="9657" w:type="dxa"/>
            <w:gridSpan w:val="4"/>
            <w:shd w:val="clear" w:color="auto" w:fill="212934" w:themeFill="text2" w:themeFillShade="7F"/>
            <w:vAlign w:val="center"/>
          </w:tcPr>
          <w:p w14:paraId="4A58B2FE">
            <w:pPr>
              <w:spacing w:beforeLines="0" w:afterLines="0" w:line="360" w:lineRule="auto"/>
              <w:jc w:val="both"/>
              <w:rPr>
                <w:rFonts w:hint="default" w:ascii="微软雅黑" w:hAnsi="微软雅黑" w:eastAsia="微软雅黑"/>
                <w:color w:val="EDC977"/>
                <w:sz w:val="21"/>
                <w:lang w:val="en-US" w:eastAsia="zh-CN"/>
              </w:rPr>
            </w:pPr>
            <w:r>
              <w:rPr>
                <w:rFonts w:hint="eastAsia" w:ascii="微软雅黑" w:hAnsi="微软雅黑" w:eastAsia="微软雅黑"/>
                <w:color w:val="EDC977"/>
                <w:sz w:val="21"/>
                <w:lang w:val="en-US" w:eastAsia="zh-CN"/>
              </w:rPr>
              <w:t>九寨沟-黄龙-成都</w:t>
            </w:r>
          </w:p>
        </w:tc>
      </w:tr>
      <w:tr w14:paraId="4F37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continue"/>
            <w:shd w:val="clear" w:color="auto" w:fill="212934" w:themeFill="text2" w:themeFillShade="7F"/>
            <w:vAlign w:val="top"/>
          </w:tcPr>
          <w:p w14:paraId="10817F86">
            <w:pPr>
              <w:spacing w:line="360" w:lineRule="auto"/>
              <w:jc w:val="center"/>
              <w:rPr>
                <w:color w:val="EDC977"/>
              </w:rPr>
            </w:pPr>
          </w:p>
        </w:tc>
        <w:tc>
          <w:tcPr>
            <w:tcW w:w="1760" w:type="dxa"/>
            <w:shd w:val="clear" w:color="auto" w:fill="212934" w:themeFill="text2" w:themeFillShade="7F"/>
            <w:vAlign w:val="center"/>
          </w:tcPr>
          <w:p w14:paraId="7158CDDD">
            <w:pPr>
              <w:spacing w:beforeLines="0" w:afterLines="0" w:line="360" w:lineRule="auto"/>
              <w:rPr>
                <w:rFonts w:hint="eastAsia" w:ascii="微软雅黑" w:hAnsi="微软雅黑" w:eastAsia="微软雅黑"/>
                <w:b/>
                <w:bCs/>
                <w:color w:val="EDC977"/>
                <w:sz w:val="21"/>
              </w:rPr>
            </w:pPr>
            <w:r>
              <w:rPr>
                <w:rFonts w:hint="eastAsia" w:ascii="微软雅黑" w:hAnsi="微软雅黑" w:eastAsia="微软雅黑"/>
                <w:b/>
                <w:bCs/>
                <w:color w:val="EDC977"/>
                <w:sz w:val="21"/>
              </w:rPr>
              <w:t>早：</w:t>
            </w:r>
            <w:r>
              <w:rPr>
                <w:rFonts w:hint="eastAsia" w:ascii="微软雅黑" w:hAnsi="微软雅黑" w:eastAsia="微软雅黑"/>
                <w:b/>
                <w:bCs/>
                <w:color w:val="EDC977"/>
                <w:sz w:val="21"/>
                <w:lang w:eastAsia="zh-CN"/>
              </w:rPr>
              <w:t>酒店早</w:t>
            </w:r>
            <w:r>
              <w:rPr>
                <w:rFonts w:hint="eastAsia" w:ascii="微软雅黑" w:hAnsi="微软雅黑" w:eastAsia="微软雅黑"/>
                <w:b/>
                <w:bCs/>
                <w:color w:val="EDC977"/>
                <w:sz w:val="21"/>
                <w:lang w:val="en-US" w:eastAsia="zh-CN"/>
              </w:rPr>
              <w:t>餐</w:t>
            </w:r>
          </w:p>
        </w:tc>
        <w:tc>
          <w:tcPr>
            <w:tcW w:w="2319" w:type="dxa"/>
            <w:shd w:val="clear" w:color="auto" w:fill="212934" w:themeFill="text2" w:themeFillShade="7F"/>
            <w:vAlign w:val="center"/>
          </w:tcPr>
          <w:p w14:paraId="417CE3BA">
            <w:pPr>
              <w:spacing w:beforeLines="0" w:afterLines="0" w:line="360" w:lineRule="auto"/>
              <w:rPr>
                <w:rFonts w:hint="default" w:ascii="微软雅黑" w:hAnsi="微软雅黑" w:eastAsia="微软雅黑"/>
                <w:b/>
                <w:bCs/>
                <w:color w:val="EDC977"/>
                <w:sz w:val="21"/>
                <w:lang w:val="en-US" w:eastAsia="zh-CN"/>
              </w:rPr>
            </w:pPr>
            <w:r>
              <w:rPr>
                <w:rFonts w:hint="eastAsia" w:ascii="微软雅黑" w:hAnsi="微软雅黑" w:eastAsia="微软雅黑"/>
                <w:b/>
                <w:bCs/>
                <w:color w:val="EDC977"/>
                <w:sz w:val="21"/>
              </w:rPr>
              <w:t>中：特色藏式汤锅</w:t>
            </w:r>
          </w:p>
        </w:tc>
        <w:tc>
          <w:tcPr>
            <w:tcW w:w="1806" w:type="dxa"/>
            <w:shd w:val="clear" w:color="auto" w:fill="212934" w:themeFill="text2" w:themeFillShade="7F"/>
            <w:vAlign w:val="center"/>
          </w:tcPr>
          <w:p w14:paraId="1DA93435">
            <w:pPr>
              <w:spacing w:beforeLines="0" w:afterLines="0" w:line="360" w:lineRule="auto"/>
              <w:rPr>
                <w:rFonts w:hint="eastAsia" w:ascii="微软雅黑" w:hAnsi="微软雅黑" w:eastAsia="微软雅黑"/>
                <w:b/>
                <w:bCs/>
                <w:color w:val="EDC977"/>
                <w:sz w:val="21"/>
                <w:lang w:val="en-US" w:eastAsia="zh-CN"/>
              </w:rPr>
            </w:pPr>
            <w:r>
              <w:rPr>
                <w:rFonts w:hint="eastAsia" w:ascii="微软雅黑" w:hAnsi="微软雅黑" w:eastAsia="微软雅黑"/>
                <w:b/>
                <w:bCs/>
                <w:color w:val="EDC977"/>
                <w:sz w:val="21"/>
              </w:rPr>
              <w:t>晚：</w:t>
            </w:r>
            <w:r>
              <w:rPr>
                <w:rFonts w:hint="eastAsia" w:ascii="微软雅黑" w:hAnsi="微软雅黑" w:eastAsia="微软雅黑"/>
                <w:b/>
                <w:bCs/>
                <w:color w:val="EDC977"/>
                <w:sz w:val="21"/>
                <w:lang w:eastAsia="zh-CN"/>
              </w:rPr>
              <w:t>自理</w:t>
            </w:r>
          </w:p>
        </w:tc>
        <w:tc>
          <w:tcPr>
            <w:tcW w:w="3772" w:type="dxa"/>
            <w:shd w:val="clear" w:color="auto" w:fill="212934" w:themeFill="text2" w:themeFillShade="7F"/>
            <w:vAlign w:val="center"/>
          </w:tcPr>
          <w:p w14:paraId="0F3057C8">
            <w:pPr>
              <w:spacing w:beforeLines="0" w:afterLines="0" w:line="360" w:lineRule="auto"/>
              <w:jc w:val="center"/>
              <w:rPr>
                <w:rFonts w:hint="default" w:ascii="微软雅黑" w:hAnsi="微软雅黑" w:eastAsia="微软雅黑"/>
                <w:b/>
                <w:bCs/>
                <w:color w:val="EDC977"/>
                <w:sz w:val="21"/>
                <w:lang w:val="en-US" w:eastAsia="zh-CN"/>
              </w:rPr>
            </w:pPr>
            <w:r>
              <w:rPr>
                <w:rFonts w:hint="eastAsia" w:ascii="微软雅黑" w:hAnsi="微软雅黑" w:eastAsia="微软雅黑"/>
                <w:b/>
                <w:bCs/>
                <w:color w:val="EDC977"/>
                <w:sz w:val="21"/>
              </w:rPr>
              <w:t>住宿：</w:t>
            </w:r>
            <w:r>
              <w:rPr>
                <w:rFonts w:hint="eastAsia" w:ascii="微软雅黑" w:hAnsi="微软雅黑" w:eastAsia="微软雅黑"/>
                <w:b/>
                <w:bCs/>
                <w:color w:val="EDC977"/>
                <w:sz w:val="21"/>
                <w:lang w:eastAsia="zh-CN"/>
              </w:rPr>
              <w:t>成都</w:t>
            </w:r>
            <w:r>
              <w:rPr>
                <w:rFonts w:hint="eastAsia" w:ascii="微软雅黑" w:hAnsi="微软雅黑" w:eastAsia="微软雅黑"/>
                <w:b/>
                <w:bCs/>
                <w:color w:val="EDC977"/>
                <w:sz w:val="21"/>
                <w:lang w:val="en-US" w:eastAsia="zh-CN"/>
              </w:rPr>
              <w:t>参考酒店</w:t>
            </w:r>
          </w:p>
        </w:tc>
      </w:tr>
      <w:tr w14:paraId="5F68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450" w:type="dxa"/>
            <w:gridSpan w:val="5"/>
            <w:vAlign w:val="top"/>
          </w:tcPr>
          <w:p w14:paraId="1F785020">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lang w:eastAsia="zh-CN"/>
              </w:rPr>
            </w:pPr>
            <w:r>
              <w:rPr>
                <w:rFonts w:hint="eastAsia" w:ascii="微软雅黑" w:hAnsi="微软雅黑" w:eastAsia="微软雅黑"/>
                <w:sz w:val="21"/>
              </w:rPr>
              <w:t>&gt;&gt;约0</w:t>
            </w:r>
            <w:r>
              <w:rPr>
                <w:rFonts w:hint="eastAsia" w:ascii="微软雅黑" w:hAnsi="微软雅黑" w:eastAsia="微软雅黑"/>
                <w:sz w:val="21"/>
                <w:lang w:val="en-US" w:eastAsia="zh-CN"/>
              </w:rPr>
              <w:t>6</w:t>
            </w:r>
            <w:r>
              <w:rPr>
                <w:rFonts w:hint="eastAsia" w:ascii="微软雅黑" w:hAnsi="微软雅黑" w:eastAsia="微软雅黑"/>
                <w:sz w:val="21"/>
              </w:rPr>
              <w:t>:00早餐后出发前往黄龙，游览</w:t>
            </w:r>
            <w:r>
              <w:rPr>
                <w:rFonts w:hint="eastAsia" w:ascii="微软雅黑" w:hAnsi="微软雅黑" w:eastAsia="微软雅黑"/>
                <w:b/>
                <w:bCs/>
                <w:sz w:val="21"/>
              </w:rPr>
              <w:t>黄龙风景区</w:t>
            </w:r>
            <w:r>
              <w:rPr>
                <w:rFonts w:hint="eastAsia" w:ascii="微软雅黑" w:hAnsi="微软雅黑" w:eastAsia="微软雅黑"/>
                <w:sz w:val="21"/>
              </w:rPr>
              <w:t>。（游览时间约4小时）</w:t>
            </w:r>
            <w:r>
              <w:rPr>
                <w:rFonts w:hint="eastAsia" w:ascii="微软雅黑" w:hAnsi="微软雅黑" w:eastAsia="微软雅黑"/>
                <w:sz w:val="21"/>
                <w:lang w:eastAsia="zh-CN"/>
              </w:rPr>
              <w:t>（自理黄龙上行索道</w:t>
            </w:r>
            <w:r>
              <w:rPr>
                <w:rFonts w:hint="eastAsia" w:ascii="微软雅黑" w:hAnsi="微软雅黑" w:eastAsia="微软雅黑"/>
                <w:sz w:val="21"/>
                <w:lang w:val="en-US" w:eastAsia="zh-CN"/>
              </w:rPr>
              <w:t>80元/人，下行40元/人，观光车20元/人，卫星定位仪30元/人，景区保险10元/人</w:t>
            </w:r>
            <w:r>
              <w:rPr>
                <w:rFonts w:hint="eastAsia" w:ascii="微软雅黑" w:hAnsi="微软雅黑" w:eastAsia="微软雅黑"/>
                <w:sz w:val="21"/>
                <w:lang w:eastAsia="zh-CN"/>
              </w:rPr>
              <w:t>）</w:t>
            </w:r>
          </w:p>
          <w:p w14:paraId="7A98CB19">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&gt;&gt;约13:30午餐安排：特色藏式汤锅</w:t>
            </w:r>
          </w:p>
          <w:p w14:paraId="29EF78AA">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&gt;&gt;约14:30乘车经茂县、汶川抵达成都入住酒店。</w:t>
            </w:r>
          </w:p>
          <w:p w14:paraId="74D011F9">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微软雅黑" w:hAnsi="微软雅黑" w:eastAsia="微软雅黑"/>
                <w:sz w:val="21"/>
              </w:rPr>
            </w:pPr>
            <w:r>
              <w:rPr>
                <w:rFonts w:hint="eastAsia" w:ascii="微软雅黑" w:hAnsi="微软雅黑" w:eastAsia="微软雅黑"/>
                <w:sz w:val="21"/>
              </w:rPr>
              <w:t>景点简介：</w:t>
            </w:r>
          </w:p>
          <w:p w14:paraId="2DBF930A">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b/>
                <w:bCs/>
                <w:sz w:val="21"/>
              </w:rPr>
              <w:t>黄龙</w:t>
            </w:r>
            <w:r>
              <w:rPr>
                <w:rFonts w:hint="eastAsia" w:ascii="微软雅黑" w:hAnsi="微软雅黑" w:eastAsia="微软雅黑"/>
                <w:sz w:val="21"/>
              </w:rPr>
              <w:t>：黄龙以彩池、雪山、峡谷、森林“四绝”著称于世，再加上滩流、古寺、民俗称为“七绝”。景区由黄龙沟、丹云峡、牟尼沟、雪宝鼎、雪山梁、红星岩，西沟等景区组成，主景区黄龙沟位于岷山主峰雪宝顶下，面临涪江源流，似中国人心目中“龙”的形象，因而历来被喻为“中华象征”。</w:t>
            </w:r>
          </w:p>
        </w:tc>
      </w:tr>
      <w:tr w14:paraId="4716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restart"/>
            <w:shd w:val="clear" w:color="auto" w:fill="212934" w:themeFill="text2" w:themeFillShade="7F"/>
            <w:vAlign w:val="center"/>
          </w:tcPr>
          <w:p w14:paraId="2E1A81BC">
            <w:pPr>
              <w:spacing w:line="360" w:lineRule="auto"/>
              <w:jc w:val="center"/>
              <w:rPr>
                <w:rFonts w:hint="default"/>
                <w:b/>
                <w:bCs/>
                <w:color w:val="EDC977"/>
                <w:lang w:val="en-US"/>
              </w:rPr>
            </w:pPr>
            <w:r>
              <w:rPr>
                <w:rFonts w:hint="eastAsia" w:ascii="微软雅黑" w:hAnsi="微软雅黑" w:eastAsia="微软雅黑" w:cs="微软雅黑"/>
                <w:b/>
                <w:bCs/>
                <w:color w:val="EDC977"/>
                <w:sz w:val="32"/>
                <w:szCs w:val="32"/>
                <w:lang w:val="en-US" w:eastAsia="zh-CN"/>
              </w:rPr>
              <w:t>D5</w:t>
            </w:r>
          </w:p>
        </w:tc>
        <w:tc>
          <w:tcPr>
            <w:tcW w:w="9657" w:type="dxa"/>
            <w:gridSpan w:val="4"/>
            <w:shd w:val="clear" w:color="auto" w:fill="212934" w:themeFill="text2" w:themeFillShade="7F"/>
            <w:vAlign w:val="center"/>
          </w:tcPr>
          <w:p w14:paraId="0BCA25DD">
            <w:pPr>
              <w:spacing w:beforeLines="0" w:afterLines="0" w:line="360" w:lineRule="auto"/>
              <w:jc w:val="left"/>
              <w:rPr>
                <w:rFonts w:hint="default" w:ascii="微软雅黑" w:hAnsi="微软雅黑" w:eastAsia="微软雅黑"/>
                <w:b/>
                <w:bCs/>
                <w:color w:val="EDC977"/>
                <w:sz w:val="21"/>
                <w:lang w:val="en-US" w:eastAsia="zh-CN"/>
              </w:rPr>
            </w:pPr>
            <w:r>
              <w:rPr>
                <w:rFonts w:hint="eastAsia" w:ascii="微软雅黑" w:hAnsi="微软雅黑" w:eastAsia="微软雅黑"/>
                <w:b/>
                <w:bCs/>
                <w:color w:val="EDC977"/>
                <w:sz w:val="24"/>
                <w:szCs w:val="24"/>
                <w:lang w:val="en-US" w:eastAsia="zh-CN"/>
              </w:rPr>
              <w:t>成都-熊猫基地-三星堆-成都</w:t>
            </w:r>
          </w:p>
        </w:tc>
      </w:tr>
      <w:tr w14:paraId="3E9C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continue"/>
            <w:shd w:val="clear" w:color="auto" w:fill="212934" w:themeFill="text2" w:themeFillShade="7F"/>
            <w:vAlign w:val="top"/>
          </w:tcPr>
          <w:p w14:paraId="6FE304CD">
            <w:pPr>
              <w:spacing w:line="360" w:lineRule="auto"/>
              <w:jc w:val="center"/>
              <w:rPr>
                <w:b/>
                <w:bCs/>
                <w:color w:val="EDC977"/>
              </w:rPr>
            </w:pPr>
          </w:p>
        </w:tc>
        <w:tc>
          <w:tcPr>
            <w:tcW w:w="1760" w:type="dxa"/>
            <w:shd w:val="clear" w:color="auto" w:fill="212934" w:themeFill="text2" w:themeFillShade="7F"/>
            <w:vAlign w:val="center"/>
          </w:tcPr>
          <w:p w14:paraId="23976D19">
            <w:pPr>
              <w:spacing w:beforeLines="0" w:afterLines="0" w:line="360" w:lineRule="auto"/>
              <w:rPr>
                <w:rFonts w:hint="eastAsia" w:ascii="微软雅黑" w:hAnsi="微软雅黑" w:eastAsia="微软雅黑"/>
                <w:b/>
                <w:bCs/>
                <w:color w:val="EDC977"/>
                <w:sz w:val="21"/>
              </w:rPr>
            </w:pPr>
            <w:r>
              <w:rPr>
                <w:rFonts w:hint="eastAsia" w:ascii="微软雅黑" w:hAnsi="微软雅黑" w:eastAsia="微软雅黑"/>
                <w:b/>
                <w:bCs/>
                <w:color w:val="EDC977"/>
                <w:sz w:val="21"/>
              </w:rPr>
              <w:t>早：</w:t>
            </w:r>
            <w:r>
              <w:rPr>
                <w:rFonts w:hint="eastAsia" w:ascii="微软雅黑" w:hAnsi="微软雅黑" w:eastAsia="微软雅黑"/>
                <w:b/>
                <w:bCs/>
                <w:color w:val="EDC977"/>
                <w:sz w:val="21"/>
                <w:lang w:eastAsia="zh-CN"/>
              </w:rPr>
              <w:t>酒店</w:t>
            </w:r>
            <w:r>
              <w:rPr>
                <w:rFonts w:hint="eastAsia" w:ascii="微软雅黑" w:hAnsi="微软雅黑" w:eastAsia="微软雅黑"/>
                <w:b/>
                <w:bCs/>
                <w:color w:val="EDC977"/>
                <w:sz w:val="21"/>
                <w:lang w:val="en-US" w:eastAsia="zh-CN"/>
              </w:rPr>
              <w:t>早餐</w:t>
            </w:r>
          </w:p>
        </w:tc>
        <w:tc>
          <w:tcPr>
            <w:tcW w:w="2319" w:type="dxa"/>
            <w:shd w:val="clear" w:color="auto" w:fill="212934" w:themeFill="text2" w:themeFillShade="7F"/>
            <w:vAlign w:val="center"/>
          </w:tcPr>
          <w:p w14:paraId="0F5B5A6F">
            <w:pPr>
              <w:spacing w:beforeLines="0" w:afterLines="0" w:line="360" w:lineRule="auto"/>
              <w:rPr>
                <w:rFonts w:hint="eastAsia" w:ascii="微软雅黑" w:hAnsi="微软雅黑" w:eastAsia="微软雅黑"/>
                <w:b/>
                <w:bCs/>
                <w:color w:val="EDC977"/>
                <w:sz w:val="21"/>
                <w:lang w:val="en-US" w:eastAsia="zh-CN"/>
              </w:rPr>
            </w:pPr>
            <w:r>
              <w:rPr>
                <w:rFonts w:hint="eastAsia" w:ascii="微软雅黑" w:hAnsi="微软雅黑" w:eastAsia="微软雅黑"/>
                <w:b/>
                <w:bCs/>
                <w:color w:val="EDC977"/>
                <w:sz w:val="21"/>
              </w:rPr>
              <w:t>中：</w:t>
            </w:r>
            <w:r>
              <w:rPr>
                <w:rFonts w:hint="eastAsia" w:ascii="微软雅黑" w:hAnsi="微软雅黑" w:eastAsia="微软雅黑"/>
                <w:b/>
                <w:bCs/>
                <w:color w:val="EDC977"/>
                <w:sz w:val="21"/>
                <w:lang w:eastAsia="zh-CN"/>
              </w:rPr>
              <w:t>自理</w:t>
            </w:r>
          </w:p>
        </w:tc>
        <w:tc>
          <w:tcPr>
            <w:tcW w:w="1806" w:type="dxa"/>
            <w:shd w:val="clear" w:color="auto" w:fill="212934" w:themeFill="text2" w:themeFillShade="7F"/>
            <w:vAlign w:val="center"/>
          </w:tcPr>
          <w:p w14:paraId="3DC40AB4">
            <w:pPr>
              <w:spacing w:beforeLines="0" w:afterLines="0" w:line="360" w:lineRule="auto"/>
              <w:rPr>
                <w:rFonts w:hint="eastAsia" w:ascii="微软雅黑" w:hAnsi="微软雅黑" w:eastAsia="微软雅黑"/>
                <w:b/>
                <w:bCs/>
                <w:color w:val="EDC977"/>
                <w:sz w:val="21"/>
                <w:lang w:val="en-US" w:eastAsia="zh-CN"/>
              </w:rPr>
            </w:pPr>
            <w:r>
              <w:rPr>
                <w:rFonts w:hint="eastAsia" w:ascii="微软雅黑" w:hAnsi="微软雅黑" w:eastAsia="微软雅黑"/>
                <w:b/>
                <w:bCs/>
                <w:color w:val="EDC977"/>
                <w:sz w:val="21"/>
              </w:rPr>
              <w:t>晚：</w:t>
            </w:r>
            <w:r>
              <w:rPr>
                <w:rFonts w:hint="eastAsia" w:ascii="微软雅黑" w:hAnsi="微软雅黑" w:eastAsia="微软雅黑"/>
                <w:b/>
                <w:bCs/>
                <w:color w:val="EDC977"/>
                <w:sz w:val="21"/>
                <w:lang w:eastAsia="zh-CN"/>
              </w:rPr>
              <w:t>自理</w:t>
            </w:r>
          </w:p>
        </w:tc>
        <w:tc>
          <w:tcPr>
            <w:tcW w:w="3772" w:type="dxa"/>
            <w:shd w:val="clear" w:color="auto" w:fill="212934" w:themeFill="text2" w:themeFillShade="7F"/>
            <w:vAlign w:val="center"/>
          </w:tcPr>
          <w:p w14:paraId="0E0F3C57">
            <w:pPr>
              <w:spacing w:beforeLines="0" w:afterLines="0" w:line="360" w:lineRule="auto"/>
              <w:jc w:val="center"/>
              <w:rPr>
                <w:rFonts w:hint="default" w:ascii="微软雅黑" w:hAnsi="微软雅黑" w:eastAsia="微软雅黑"/>
                <w:b/>
                <w:bCs/>
                <w:color w:val="EDC977"/>
                <w:sz w:val="21"/>
                <w:lang w:val="en-US"/>
              </w:rPr>
            </w:pPr>
            <w:r>
              <w:rPr>
                <w:rFonts w:hint="eastAsia" w:ascii="微软雅黑" w:hAnsi="微软雅黑" w:eastAsia="微软雅黑"/>
                <w:b/>
                <w:bCs/>
                <w:color w:val="EDC977"/>
                <w:sz w:val="21"/>
              </w:rPr>
              <w:t>住宿</w:t>
            </w:r>
            <w:r>
              <w:rPr>
                <w:rFonts w:hint="eastAsia" w:ascii="微软雅黑" w:hAnsi="微软雅黑" w:eastAsia="微软雅黑"/>
                <w:b/>
                <w:bCs/>
                <w:color w:val="EDC977"/>
                <w:sz w:val="21"/>
                <w:lang w:eastAsia="zh-CN"/>
              </w:rPr>
              <w:t>：成都</w:t>
            </w:r>
            <w:r>
              <w:rPr>
                <w:rFonts w:hint="eastAsia" w:ascii="微软雅黑" w:hAnsi="微软雅黑" w:eastAsia="微软雅黑"/>
                <w:b/>
                <w:bCs/>
                <w:color w:val="EDC977"/>
                <w:sz w:val="21"/>
                <w:lang w:val="en-US" w:eastAsia="zh-CN"/>
              </w:rPr>
              <w:t>参考酒店</w:t>
            </w:r>
          </w:p>
        </w:tc>
      </w:tr>
      <w:tr w14:paraId="4E31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450" w:type="dxa"/>
            <w:gridSpan w:val="5"/>
            <w:vAlign w:val="top"/>
          </w:tcPr>
          <w:p w14:paraId="1664F09B">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lang w:val="en-US" w:eastAsia="zh-CN"/>
              </w:rPr>
            </w:pPr>
            <w:r>
              <w:rPr>
                <w:rFonts w:hint="eastAsia" w:ascii="微软雅黑" w:hAnsi="微软雅黑" w:eastAsia="微软雅黑"/>
                <w:sz w:val="21"/>
                <w:lang w:val="en-US" w:eastAsia="zh-CN"/>
              </w:rPr>
              <w:t>&gt;&gt;&gt;&gt; 早上 6：00 成都三环内接人，如遇旺季，接早时间提前2-3 小时，三环路以外客人可自行前往集合地点或者到达三环路以内上车（出发前一天晚上 22:00 前有工作人员与您联系，师傅会根据客人住处的远近安排接客人时间；每位客人上车时间不同，位置自选，请予以理解。接早小车一人一座，不限车型）</w:t>
            </w:r>
          </w:p>
          <w:p w14:paraId="620A146B">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sz w:val="21"/>
                <w:lang w:val="en-US" w:eastAsia="zh-CN"/>
              </w:rPr>
              <w:t>&gt;&gt;</w:t>
            </w:r>
            <w:r>
              <w:rPr>
                <w:rFonts w:hint="eastAsia" w:ascii="微软雅黑" w:hAnsi="微软雅黑" w:eastAsia="微软雅黑" w:cs="微软雅黑"/>
                <w:sz w:val="24"/>
                <w:szCs w:val="24"/>
                <w:lang w:val="en-US" w:eastAsia="zh-CN"/>
              </w:rPr>
              <w:t>早餐后（桌早或路早）</w:t>
            </w:r>
            <w:r>
              <w:rPr>
                <w:rFonts w:hint="default" w:ascii="微软雅黑" w:hAnsi="微软雅黑" w:eastAsia="微软雅黑"/>
                <w:sz w:val="21"/>
                <w:lang w:val="en-US" w:eastAsia="zh-CN"/>
              </w:rPr>
              <w:t>约07:</w:t>
            </w:r>
            <w:r>
              <w:rPr>
                <w:rFonts w:hint="eastAsia" w:ascii="微软雅黑" w:hAnsi="微软雅黑" w:eastAsia="微软雅黑"/>
                <w:sz w:val="21"/>
                <w:lang w:val="en-US" w:eastAsia="zh-CN"/>
              </w:rPr>
              <w:t>0</w:t>
            </w:r>
            <w:r>
              <w:rPr>
                <w:rFonts w:hint="default" w:ascii="微软雅黑" w:hAnsi="微软雅黑" w:eastAsia="微软雅黑"/>
                <w:sz w:val="21"/>
                <w:lang w:val="en-US" w:eastAsia="zh-CN"/>
              </w:rPr>
              <w:t>0</w:t>
            </w:r>
            <w:r>
              <w:rPr>
                <w:rFonts w:hint="eastAsia" w:ascii="微软雅黑" w:hAnsi="微软雅黑" w:eastAsia="微软雅黑"/>
                <w:sz w:val="21"/>
                <w:lang w:val="en-US" w:eastAsia="zh-CN"/>
              </w:rPr>
              <w:t>统一集合后</w:t>
            </w:r>
            <w:r>
              <w:rPr>
                <w:rFonts w:hint="default" w:ascii="微软雅黑" w:hAnsi="微软雅黑" w:eastAsia="微软雅黑"/>
                <w:sz w:val="21"/>
                <w:lang w:val="en-US" w:eastAsia="zh-CN"/>
              </w:rPr>
              <w:t>出发前往</w:t>
            </w:r>
            <w:r>
              <w:rPr>
                <w:rFonts w:hint="default" w:ascii="微软雅黑" w:hAnsi="微软雅黑" w:eastAsia="微软雅黑"/>
                <w:b/>
                <w:bCs/>
                <w:sz w:val="21"/>
                <w:lang w:val="en-US" w:eastAsia="zh-CN"/>
              </w:rPr>
              <w:t>成都大熊猫基地</w:t>
            </w:r>
            <w:r>
              <w:rPr>
                <w:rFonts w:hint="default" w:ascii="微软雅黑" w:hAnsi="微软雅黑" w:eastAsia="微软雅黑"/>
                <w:sz w:val="21"/>
                <w:lang w:val="en-US" w:eastAsia="zh-CN"/>
              </w:rPr>
              <w:t>。（游览时间约2小时）</w:t>
            </w:r>
            <w:r>
              <w:rPr>
                <w:rFonts w:hint="eastAsia" w:ascii="微软雅黑" w:hAnsi="微软雅黑" w:eastAsia="微软雅黑"/>
                <w:sz w:val="21"/>
                <w:lang w:val="en-US" w:eastAsia="zh-CN"/>
              </w:rPr>
              <w:t>（自理观光车30元/人，耳麦10元/人）</w:t>
            </w:r>
          </w:p>
          <w:p w14:paraId="2EFB1422">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sz w:val="21"/>
                <w:lang w:val="en-US" w:eastAsia="zh-CN"/>
              </w:rPr>
              <w:t>&gt;&gt;约11:30午餐自行安排</w:t>
            </w:r>
          </w:p>
          <w:p w14:paraId="7C7103E2">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sz w:val="21"/>
                <w:lang w:val="en-US" w:eastAsia="zh-CN"/>
              </w:rPr>
              <w:t>(</w:t>
            </w:r>
            <w:r>
              <w:rPr>
                <w:rFonts w:hint="eastAsia" w:ascii="微软雅黑" w:hAnsi="微软雅黑" w:eastAsia="微软雅黑"/>
                <w:sz w:val="21"/>
                <w:lang w:val="en-US" w:eastAsia="zh-CN"/>
              </w:rPr>
              <w:t>旺季</w:t>
            </w:r>
            <w:r>
              <w:rPr>
                <w:rFonts w:hint="default" w:ascii="微软雅黑" w:hAnsi="微软雅黑" w:eastAsia="微软雅黑"/>
                <w:sz w:val="21"/>
                <w:lang w:val="en-US" w:eastAsia="zh-CN"/>
              </w:rPr>
              <w:t>三星堆博物馆</w:t>
            </w:r>
            <w:r>
              <w:rPr>
                <w:rFonts w:hint="eastAsia" w:ascii="微软雅黑" w:hAnsi="微软雅黑" w:eastAsia="微软雅黑"/>
                <w:sz w:val="21"/>
                <w:lang w:val="en-US" w:eastAsia="zh-CN"/>
              </w:rPr>
              <w:t>为</w:t>
            </w:r>
            <w:r>
              <w:rPr>
                <w:rFonts w:hint="eastAsia" w:eastAsiaTheme="minorEastAsia"/>
                <w:color w:val="EDC977"/>
                <w:lang w:eastAsia="zh-CN"/>
              </w:rPr>
              <w:drawing>
                <wp:anchor distT="0" distB="0" distL="114300" distR="114300" simplePos="0" relativeHeight="251678720" behindDoc="1" locked="0" layoutInCell="1" allowOverlap="1">
                  <wp:simplePos x="0" y="0"/>
                  <wp:positionH relativeFrom="column">
                    <wp:posOffset>-236855</wp:posOffset>
                  </wp:positionH>
                  <wp:positionV relativeFrom="paragraph">
                    <wp:posOffset>-915035</wp:posOffset>
                  </wp:positionV>
                  <wp:extent cx="7562850" cy="10697210"/>
                  <wp:effectExtent l="0" t="0" r="0" b="8890"/>
                  <wp:wrapNone/>
                  <wp:docPr id="19" name="图片 19"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sz w:val="21"/>
                <w:lang w:val="en-US" w:eastAsia="zh-CN"/>
              </w:rPr>
              <w:t>抢票模式，不保证有票，无票</w:t>
            </w:r>
            <w:r>
              <w:rPr>
                <w:rFonts w:hint="default" w:ascii="微软雅黑" w:hAnsi="微软雅黑" w:eastAsia="微软雅黑"/>
                <w:sz w:val="21"/>
                <w:lang w:val="en-US" w:eastAsia="zh-CN"/>
              </w:rPr>
              <w:t>更改为成都金沙遗址博物馆，请悉知)</w:t>
            </w:r>
          </w:p>
          <w:p w14:paraId="2FECD049">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sz w:val="21"/>
                <w:lang w:val="en-US" w:eastAsia="zh-CN"/>
              </w:rPr>
              <w:t>&gt;&gt;约13:00出发前往广汉</w:t>
            </w:r>
            <w:r>
              <w:rPr>
                <w:rFonts w:hint="default" w:ascii="微软雅黑" w:hAnsi="微软雅黑" w:eastAsia="微软雅黑"/>
                <w:b/>
                <w:bCs/>
                <w:sz w:val="21"/>
                <w:lang w:val="en-US" w:eastAsia="zh-CN"/>
              </w:rPr>
              <w:t>三星堆</w:t>
            </w:r>
            <w:r>
              <w:rPr>
                <w:rFonts w:hint="default" w:ascii="微软雅黑" w:hAnsi="微软雅黑" w:eastAsia="微软雅黑"/>
                <w:sz w:val="21"/>
                <w:lang w:val="en-US" w:eastAsia="zh-CN"/>
              </w:rPr>
              <w:t>。（游览时间约2小时）</w:t>
            </w:r>
            <w:r>
              <w:rPr>
                <w:rFonts w:hint="eastAsia" w:ascii="微软雅黑" w:hAnsi="微软雅黑" w:eastAsia="微软雅黑"/>
                <w:sz w:val="21"/>
                <w:lang w:val="en-US" w:eastAsia="zh-CN"/>
              </w:rPr>
              <w:t>（自理景区讲解器30元/人）</w:t>
            </w:r>
          </w:p>
          <w:p w14:paraId="485DEEC0">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sz w:val="21"/>
                <w:lang w:val="en-US" w:eastAsia="zh-CN"/>
              </w:rPr>
              <w:t>&gt;&gt;约16:30返回成都入住酒店。</w:t>
            </w:r>
          </w:p>
          <w:p w14:paraId="4A63CFDE">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sz w:val="21"/>
                <w:lang w:val="en-US" w:eastAsia="zh-CN"/>
              </w:rPr>
              <w:t>景点简介：</w:t>
            </w:r>
          </w:p>
          <w:p w14:paraId="3BBDC7B4">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b/>
                <w:bCs/>
                <w:sz w:val="21"/>
                <w:lang w:val="en-US" w:eastAsia="zh-CN"/>
              </w:rPr>
              <w:t>成都大熊猫基地</w:t>
            </w:r>
            <w:r>
              <w:rPr>
                <w:rFonts w:hint="default" w:ascii="微软雅黑" w:hAnsi="微软雅黑" w:eastAsia="微软雅黑"/>
                <w:sz w:val="21"/>
                <w:lang w:val="en-US" w:eastAsia="zh-CN"/>
              </w:rPr>
              <w:t>：成都大熊猫繁育基地位处成都市北郊,建有各种齐全的大熊猫繁育所必须的设施，基地种植着成片青翠可爱的竹林，大熊猫不仅有野外嬉戏卖萌的场所，还有空调别墅住。运气好的话，你可以看到熊猫宝宝，圆嘟嘟的小家伙萌得足以融化人心。基地里的天鹅、孔雀、小熊猫都是散养的，走在路上，说不定就有突如其来的访客哦。</w:t>
            </w:r>
          </w:p>
          <w:p w14:paraId="257C8F25">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default" w:ascii="微软雅黑" w:hAnsi="微软雅黑" w:eastAsia="微软雅黑"/>
                <w:sz w:val="21"/>
                <w:lang w:val="en-US" w:eastAsia="zh-CN"/>
              </w:rPr>
            </w:pPr>
            <w:r>
              <w:rPr>
                <w:rFonts w:hint="default" w:ascii="微软雅黑" w:hAnsi="微软雅黑" w:eastAsia="微软雅黑"/>
                <w:b/>
                <w:bCs/>
                <w:sz w:val="21"/>
                <w:lang w:val="en-US" w:eastAsia="zh-CN"/>
              </w:rPr>
              <w:t>广汉三星堆博物馆</w:t>
            </w:r>
            <w:r>
              <w:rPr>
                <w:rFonts w:hint="default" w:ascii="微软雅黑" w:hAnsi="微软雅黑" w:eastAsia="微软雅黑"/>
                <w:sz w:val="21"/>
                <w:lang w:val="en-US" w:eastAsia="zh-CN"/>
              </w:rPr>
              <w:t>：三星堆遗址是迄今为止西南地区发现的范围较大、延续时间较长、文化内涵较丰富的古蜀文化遗址。三星堆博物馆就位于遗址东北角，收藏和展示了三星堆遗址出土的青铜器、玉石器、金器以及陶器、骨器等千余件 珍贵文物。</w:t>
            </w:r>
          </w:p>
        </w:tc>
      </w:tr>
      <w:tr w14:paraId="6001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restart"/>
            <w:shd w:val="clear" w:color="auto" w:fill="212934"/>
            <w:vAlign w:val="center"/>
          </w:tcPr>
          <w:p w14:paraId="242B613E">
            <w:pPr>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rPr>
                <w:rFonts w:hint="default" w:ascii="微软雅黑" w:hAnsi="微软雅黑" w:eastAsia="微软雅黑"/>
                <w:color w:val="EDC977"/>
                <w:sz w:val="21"/>
                <w:lang w:val="en-US"/>
              </w:rPr>
            </w:pPr>
            <w:r>
              <w:rPr>
                <w:rFonts w:hint="eastAsia" w:ascii="微软雅黑" w:hAnsi="微软雅黑" w:eastAsia="微软雅黑" w:cs="微软雅黑"/>
                <w:b/>
                <w:bCs/>
                <w:color w:val="EDC977"/>
                <w:sz w:val="32"/>
                <w:szCs w:val="32"/>
                <w:lang w:val="en-US" w:eastAsia="zh-CN"/>
              </w:rPr>
              <w:t>D6</w:t>
            </w:r>
          </w:p>
        </w:tc>
        <w:tc>
          <w:tcPr>
            <w:tcW w:w="9657" w:type="dxa"/>
            <w:gridSpan w:val="4"/>
            <w:shd w:val="clear" w:color="auto" w:fill="212934"/>
            <w:vAlign w:val="center"/>
          </w:tcPr>
          <w:p w14:paraId="1EB38ADB">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default" w:ascii="微软雅黑" w:hAnsi="微软雅黑" w:eastAsia="微软雅黑"/>
                <w:color w:val="EDC977"/>
                <w:sz w:val="21"/>
                <w:lang w:val="en-US"/>
              </w:rPr>
            </w:pPr>
            <w:r>
              <w:rPr>
                <w:rFonts w:hint="eastAsia" w:ascii="微软雅黑" w:hAnsi="微软雅黑" w:eastAsia="微软雅黑"/>
                <w:b/>
                <w:bCs/>
                <w:color w:val="EDC977"/>
                <w:sz w:val="24"/>
                <w:szCs w:val="24"/>
                <w:lang w:val="en-US" w:eastAsia="zh-CN"/>
              </w:rPr>
              <w:t>成都—汉口</w:t>
            </w:r>
          </w:p>
        </w:tc>
      </w:tr>
      <w:tr w14:paraId="6310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793" w:type="dxa"/>
            <w:vMerge w:val="continue"/>
            <w:shd w:val="clear" w:color="auto" w:fill="212934"/>
            <w:vAlign w:val="top"/>
          </w:tcPr>
          <w:p w14:paraId="07FC6481">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color w:val="EDC977"/>
                <w:sz w:val="21"/>
              </w:rPr>
            </w:pPr>
          </w:p>
        </w:tc>
        <w:tc>
          <w:tcPr>
            <w:tcW w:w="1760" w:type="dxa"/>
            <w:shd w:val="clear" w:color="auto" w:fill="212934"/>
            <w:vAlign w:val="center"/>
          </w:tcPr>
          <w:p w14:paraId="1F14F205">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eastAsia" w:ascii="微软雅黑" w:hAnsi="微软雅黑" w:eastAsia="微软雅黑"/>
                <w:color w:val="EDC977"/>
                <w:sz w:val="21"/>
              </w:rPr>
            </w:pPr>
            <w:r>
              <w:rPr>
                <w:rFonts w:hint="eastAsia" w:ascii="微软雅黑" w:hAnsi="微软雅黑" w:eastAsia="微软雅黑"/>
                <w:b/>
                <w:bCs/>
                <w:color w:val="EDC977"/>
                <w:sz w:val="21"/>
              </w:rPr>
              <w:t>早：</w:t>
            </w:r>
            <w:r>
              <w:rPr>
                <w:rFonts w:hint="eastAsia" w:ascii="微软雅黑" w:hAnsi="微软雅黑" w:eastAsia="微软雅黑"/>
                <w:b/>
                <w:bCs/>
                <w:color w:val="EDC977"/>
                <w:sz w:val="21"/>
                <w:lang w:eastAsia="zh-CN"/>
              </w:rPr>
              <w:t>酒店</w:t>
            </w:r>
            <w:r>
              <w:rPr>
                <w:rFonts w:hint="eastAsia" w:ascii="微软雅黑" w:hAnsi="微软雅黑" w:eastAsia="微软雅黑"/>
                <w:b/>
                <w:bCs/>
                <w:color w:val="EDC977"/>
                <w:sz w:val="21"/>
                <w:lang w:val="en-US" w:eastAsia="zh-CN"/>
              </w:rPr>
              <w:t>早餐</w:t>
            </w:r>
          </w:p>
        </w:tc>
        <w:tc>
          <w:tcPr>
            <w:tcW w:w="2319" w:type="dxa"/>
            <w:shd w:val="clear" w:color="auto" w:fill="212934"/>
            <w:vAlign w:val="center"/>
          </w:tcPr>
          <w:p w14:paraId="4F537472">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default" w:ascii="微软雅黑" w:hAnsi="微软雅黑" w:eastAsia="微软雅黑"/>
                <w:color w:val="EDC977"/>
                <w:sz w:val="21"/>
                <w:lang w:val="en-US" w:eastAsia="zh-CN"/>
              </w:rPr>
            </w:pPr>
            <w:r>
              <w:rPr>
                <w:rFonts w:hint="eastAsia" w:ascii="微软雅黑" w:hAnsi="微软雅黑" w:eastAsia="微软雅黑"/>
                <w:b/>
                <w:bCs/>
                <w:color w:val="EDC977"/>
                <w:sz w:val="21"/>
                <w:lang w:val="en-US" w:eastAsia="zh-CN"/>
              </w:rPr>
              <w:t>中</w:t>
            </w:r>
            <w:r>
              <w:rPr>
                <w:rFonts w:hint="eastAsia" w:ascii="微软雅黑" w:hAnsi="微软雅黑" w:eastAsia="微软雅黑"/>
                <w:b/>
                <w:bCs/>
                <w:color w:val="EDC977"/>
                <w:sz w:val="21"/>
              </w:rPr>
              <w:t>：</w:t>
            </w:r>
            <w:r>
              <w:rPr>
                <w:rFonts w:hint="eastAsia" w:ascii="微软雅黑" w:hAnsi="微软雅黑" w:eastAsia="微软雅黑"/>
                <w:b/>
                <w:bCs/>
                <w:color w:val="EDC977"/>
                <w:sz w:val="21"/>
                <w:lang w:val="en-US" w:eastAsia="zh-CN"/>
              </w:rPr>
              <w:t>自理</w:t>
            </w:r>
          </w:p>
        </w:tc>
        <w:tc>
          <w:tcPr>
            <w:tcW w:w="1806" w:type="dxa"/>
            <w:shd w:val="clear" w:color="auto" w:fill="212934"/>
            <w:vAlign w:val="center"/>
          </w:tcPr>
          <w:p w14:paraId="71FDB144">
            <w:pPr>
              <w:keepNext w:val="0"/>
              <w:keepLines w:val="0"/>
              <w:pageBreakBefore w:val="0"/>
              <w:widowControl w:val="0"/>
              <w:kinsoku/>
              <w:wordWrap/>
              <w:overflowPunct/>
              <w:topLinePunct w:val="0"/>
              <w:autoSpaceDE/>
              <w:autoSpaceDN/>
              <w:bidi w:val="0"/>
              <w:adjustRightInd/>
              <w:snapToGrid/>
              <w:spacing w:beforeLines="0" w:afterLines="0" w:line="360" w:lineRule="auto"/>
              <w:jc w:val="both"/>
              <w:textAlignment w:val="auto"/>
              <w:rPr>
                <w:rFonts w:hint="eastAsia" w:ascii="微软雅黑" w:hAnsi="微软雅黑" w:eastAsia="微软雅黑"/>
                <w:color w:val="EDC977"/>
                <w:sz w:val="21"/>
              </w:rPr>
            </w:pPr>
            <w:r>
              <w:rPr>
                <w:rFonts w:hint="eastAsia" w:ascii="微软雅黑" w:hAnsi="微软雅黑" w:eastAsia="微软雅黑"/>
                <w:b/>
                <w:bCs/>
                <w:color w:val="EDC977"/>
                <w:sz w:val="21"/>
                <w:lang w:val="en-US" w:eastAsia="zh-CN"/>
              </w:rPr>
              <w:t>晚</w:t>
            </w:r>
            <w:r>
              <w:rPr>
                <w:rFonts w:hint="eastAsia" w:ascii="微软雅黑" w:hAnsi="微软雅黑" w:eastAsia="微软雅黑"/>
                <w:b/>
                <w:bCs/>
                <w:color w:val="EDC977"/>
                <w:sz w:val="21"/>
              </w:rPr>
              <w:t>：</w:t>
            </w:r>
            <w:r>
              <w:rPr>
                <w:rFonts w:hint="eastAsia" w:ascii="微软雅黑" w:hAnsi="微软雅黑" w:eastAsia="微软雅黑"/>
                <w:b/>
                <w:bCs/>
                <w:color w:val="EDC977"/>
                <w:sz w:val="21"/>
                <w:lang w:val="en-US" w:eastAsia="zh-CN"/>
              </w:rPr>
              <w:t>自理</w:t>
            </w:r>
          </w:p>
        </w:tc>
        <w:tc>
          <w:tcPr>
            <w:tcW w:w="3772" w:type="dxa"/>
            <w:shd w:val="clear" w:color="auto" w:fill="212934"/>
            <w:vAlign w:val="center"/>
          </w:tcPr>
          <w:p w14:paraId="6BAB17AF">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both"/>
              <w:textAlignment w:val="auto"/>
              <w:rPr>
                <w:rFonts w:hint="eastAsia" w:ascii="微软雅黑" w:hAnsi="微软雅黑" w:eastAsia="微软雅黑"/>
                <w:color w:val="EDC977"/>
                <w:sz w:val="21"/>
                <w:lang w:val="en-US" w:eastAsia="zh-CN"/>
              </w:rPr>
            </w:pPr>
            <w:r>
              <w:rPr>
                <w:rFonts w:hint="eastAsia" w:ascii="微软雅黑" w:hAnsi="微软雅黑" w:eastAsia="微软雅黑"/>
                <w:b/>
                <w:bCs/>
                <w:color w:val="EDC977"/>
                <w:sz w:val="21"/>
              </w:rPr>
              <w:t>住宿：</w:t>
            </w:r>
            <w:r>
              <w:rPr>
                <w:rFonts w:hint="eastAsia" w:ascii="微软雅黑" w:hAnsi="微软雅黑" w:eastAsia="微软雅黑"/>
                <w:b/>
                <w:bCs/>
                <w:color w:val="EDC977"/>
                <w:sz w:val="21"/>
                <w:lang w:val="en-US" w:eastAsia="zh-CN"/>
              </w:rPr>
              <w:t>无</w:t>
            </w:r>
          </w:p>
        </w:tc>
      </w:tr>
      <w:tr w14:paraId="645A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1450" w:type="dxa"/>
            <w:gridSpan w:val="5"/>
            <w:vAlign w:val="top"/>
          </w:tcPr>
          <w:p w14:paraId="405584B7">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rPr>
            </w:pPr>
            <w:r>
              <w:rPr>
                <w:rFonts w:hint="eastAsia" w:ascii="微软雅黑" w:hAnsi="微软雅黑" w:eastAsia="微软雅黑"/>
                <w:sz w:val="21"/>
              </w:rPr>
              <w:t>&gt;&gt;今日自由活动，您可闲逛一下成都，宽窄巷子、锦里、春熙路，体验成都的历史文化，搜罗成都的美食。按照提前预定的时间小车师傅会送您前往返程乘坐的交通工具枢纽，结束您本次四川九寨之行！</w:t>
            </w:r>
          </w:p>
          <w:p w14:paraId="0FADC102">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rPr>
            </w:pPr>
            <w:r>
              <w:rPr>
                <w:rFonts w:hint="eastAsia" w:ascii="微软雅黑" w:hAnsi="微软雅黑" w:eastAsia="微软雅黑"/>
                <w:sz w:val="21"/>
              </w:rPr>
              <w:t>注1：按惯例，酒店当天退房时间在中午12:00，请客人在自由活动期间注意时间。以免因延迟退房，酒店加收您的房费。</w:t>
            </w:r>
          </w:p>
          <w:p w14:paraId="573E38A6">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rPr>
            </w:pPr>
            <w:r>
              <w:rPr>
                <w:rFonts w:hint="eastAsia" w:ascii="微软雅黑" w:hAnsi="微软雅黑" w:eastAsia="微软雅黑"/>
                <w:sz w:val="21"/>
              </w:rPr>
              <w:t>注2：成都双流国际机场</w:t>
            </w:r>
            <w:r>
              <w:rPr>
                <w:rFonts w:hint="eastAsia" w:ascii="微软雅黑" w:hAnsi="微软雅黑" w:eastAsia="微软雅黑"/>
                <w:sz w:val="21"/>
                <w:lang w:val="en-US" w:eastAsia="zh-CN"/>
              </w:rPr>
              <w:t>/成都天府国际机场</w:t>
            </w:r>
            <w:r>
              <w:rPr>
                <w:rFonts w:hint="eastAsia" w:ascii="微软雅黑" w:hAnsi="微软雅黑" w:eastAsia="微软雅黑"/>
                <w:sz w:val="21"/>
              </w:rPr>
              <w:t>安检严格，加上成都交通拥堵，为保证您不误机，送机时间可能会较早，您也可自行打车前往机场，但费用须您自理，原定送机费用也无法退还，还请您能谅解。</w:t>
            </w:r>
          </w:p>
          <w:p w14:paraId="6CA7265F">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rPr>
            </w:pPr>
            <w:r>
              <w:rPr>
                <w:rFonts w:hint="eastAsia" w:ascii="微软雅黑" w:hAnsi="微软雅黑" w:eastAsia="微软雅黑"/>
                <w:sz w:val="21"/>
              </w:rPr>
              <w:t>注3：离开成都前一天（14:00-20:00），您会收到预约：成都送站信息的短信通知或者电话联系（请保持您报名预留通讯工具的畅通）。如果您的安排临时出现变故，请及时联系我们。</w:t>
            </w:r>
          </w:p>
          <w:p w14:paraId="55763D31">
            <w:pPr>
              <w:keepNext w:val="0"/>
              <w:keepLines w:val="0"/>
              <w:pageBreakBefore w:val="0"/>
              <w:widowControl w:val="0"/>
              <w:kinsoku/>
              <w:wordWrap/>
              <w:overflowPunct/>
              <w:topLinePunct w:val="0"/>
              <w:autoSpaceDE/>
              <w:autoSpaceDN/>
              <w:bidi w:val="0"/>
              <w:adjustRightInd/>
              <w:snapToGrid/>
              <w:spacing w:beforeLines="0" w:afterLines="0" w:line="360" w:lineRule="auto"/>
              <w:ind w:firstLine="630" w:firstLineChars="300"/>
              <w:jc w:val="left"/>
              <w:textAlignment w:val="auto"/>
              <w:rPr>
                <w:rFonts w:hint="eastAsia" w:ascii="微软雅黑" w:hAnsi="微软雅黑" w:eastAsia="微软雅黑"/>
                <w:sz w:val="21"/>
              </w:rPr>
            </w:pPr>
            <w:r>
              <w:rPr>
                <w:rFonts w:hint="eastAsia" w:ascii="微软雅黑" w:hAnsi="微软雅黑" w:eastAsia="微软雅黑"/>
                <w:sz w:val="21"/>
              </w:rPr>
              <w:t>注4：车辆将您送至成都双流国际机场</w:t>
            </w:r>
            <w:r>
              <w:rPr>
                <w:rFonts w:hint="eastAsia" w:ascii="微软雅黑" w:hAnsi="微软雅黑" w:eastAsia="微软雅黑"/>
                <w:sz w:val="21"/>
                <w:lang w:val="en-US" w:eastAsia="zh-CN"/>
              </w:rPr>
              <w:t>/成都天府国际机场</w:t>
            </w:r>
            <w:r>
              <w:rPr>
                <w:rFonts w:hint="eastAsia" w:ascii="微软雅黑" w:hAnsi="微软雅黑" w:eastAsia="微软雅黑"/>
                <w:sz w:val="21"/>
              </w:rPr>
              <w:t>T1或T2候机大厅（或相应火车站候车大厅）以后将立即离开，请您自行办理登机（车）手续，如有不便请谅解！</w:t>
            </w:r>
          </w:p>
        </w:tc>
      </w:tr>
    </w:tbl>
    <w:tbl>
      <w:tblPr>
        <w:tblStyle w:val="3"/>
        <w:tblpPr w:leftFromText="180" w:rightFromText="180" w:vertAnchor="text" w:horzAnchor="page" w:tblpX="345" w:tblpY="1264"/>
        <w:tblOverlap w:val="never"/>
        <w:tblW w:w="11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9715"/>
      </w:tblGrid>
      <w:tr w14:paraId="2932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450" w:type="dxa"/>
            <w:gridSpan w:val="2"/>
            <w:shd w:val="clear" w:color="auto" w:fill="212934" w:themeFill="text2" w:themeFillShade="7F"/>
            <w:vAlign w:val="center"/>
          </w:tcPr>
          <w:p w14:paraId="434511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Theme="minorEastAsia"/>
                <w:b/>
                <w:bCs/>
                <w:sz w:val="30"/>
                <w:szCs w:val="30"/>
                <w:vertAlign w:val="baseline"/>
                <w:lang w:val="en-US" w:eastAsia="zh-CN"/>
              </w:rPr>
            </w:pPr>
            <w:r>
              <w:rPr>
                <w:rFonts w:hint="eastAsia" w:ascii="微软雅黑" w:hAnsi="微软雅黑" w:eastAsia="微软雅黑" w:cs="微软雅黑"/>
                <w:b/>
                <w:bCs/>
                <w:color w:val="EDC977"/>
                <w:sz w:val="30"/>
                <w:szCs w:val="30"/>
                <w:lang w:val="en-US" w:eastAsia="zh-CN"/>
              </w:rPr>
              <w:drawing>
                <wp:anchor distT="0" distB="0" distL="114300" distR="114300" simplePos="0" relativeHeight="251677696" behindDoc="1" locked="0" layoutInCell="1" allowOverlap="1">
                  <wp:simplePos x="0" y="0"/>
                  <wp:positionH relativeFrom="column">
                    <wp:posOffset>-229235</wp:posOffset>
                  </wp:positionH>
                  <wp:positionV relativeFrom="paragraph">
                    <wp:posOffset>-1790700</wp:posOffset>
                  </wp:positionV>
                  <wp:extent cx="7562850" cy="10697210"/>
                  <wp:effectExtent l="0" t="0" r="0" b="8890"/>
                  <wp:wrapNone/>
                  <wp:docPr id="13" name="图片 13"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cs="微软雅黑"/>
                <w:b/>
                <w:bCs/>
                <w:color w:val="EDC977"/>
                <w:sz w:val="30"/>
                <w:szCs w:val="30"/>
                <w:lang w:val="en-US" w:eastAsia="zh-CN"/>
              </w:rPr>
              <w:t>费用包含</w:t>
            </w:r>
          </w:p>
        </w:tc>
      </w:tr>
      <w:tr w14:paraId="4554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735" w:type="dxa"/>
            <w:vAlign w:val="center"/>
          </w:tcPr>
          <w:p w14:paraId="397FF2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门票</w:t>
            </w:r>
          </w:p>
        </w:tc>
        <w:tc>
          <w:tcPr>
            <w:tcW w:w="9715" w:type="dxa"/>
            <w:vAlign w:val="center"/>
          </w:tcPr>
          <w:p w14:paraId="6FFE97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含都江堰、九寨沟、黄龙、熊猫基地、广汉三星堆遗址门票</w:t>
            </w:r>
          </w:p>
          <w:p w14:paraId="1B517C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eastAsia="zh-CN"/>
              </w:rPr>
              <w:t>旺季退费标准：优惠90元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，免票：180元</w:t>
            </w:r>
            <w:r>
              <w:rPr>
                <w:rFonts w:hint="eastAsia" w:ascii="微软雅黑" w:hAnsi="微软雅黑" w:eastAsia="微软雅黑" w:cs="微软雅黑"/>
                <w:vertAlign w:val="baseline"/>
                <w:lang w:val="en-US" w:eastAsia="zh-CN"/>
              </w:rPr>
              <w:t>/人</w:t>
            </w:r>
          </w:p>
          <w:p w14:paraId="4D6577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淡季退费标准：优惠60元/人，免票：120元/人</w:t>
            </w:r>
          </w:p>
        </w:tc>
      </w:tr>
      <w:tr w14:paraId="074E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1735" w:type="dxa"/>
            <w:vAlign w:val="center"/>
          </w:tcPr>
          <w:p w14:paraId="45D2D2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酒店参考</w:t>
            </w:r>
          </w:p>
        </w:tc>
        <w:tc>
          <w:tcPr>
            <w:tcW w:w="9715" w:type="dxa"/>
            <w:vAlign w:val="center"/>
          </w:tcPr>
          <w:p w14:paraId="245BE4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四钻参考酒店</w:t>
            </w:r>
          </w:p>
          <w:p w14:paraId="7CECED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eastAsia="zh-CN"/>
              </w:rPr>
              <w:t>成都：锦蓉酒店、尚里阳光，春天酒店，武侯智选，浣花智选，檀香花园等同级</w:t>
            </w:r>
          </w:p>
          <w:p w14:paraId="799FFA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九寨沟：港威瑞逸，鑫源，金卓林，西姆山居，九安，九寨度假村等同级</w:t>
            </w:r>
          </w:p>
          <w:p w14:paraId="4CE278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eastAsia="zh-CN"/>
              </w:rPr>
            </w:pPr>
          </w:p>
          <w:p w14:paraId="7603D1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rPr>
                <w:rFonts w:hint="eastAsia" w:ascii="微软雅黑" w:hAnsi="微软雅黑" w:eastAsia="微软雅黑" w:cs="微软雅黑"/>
              </w:rPr>
              <w:t>五钻</w:t>
            </w:r>
            <w:r>
              <w:rPr>
                <w:rFonts w:hint="eastAsia" w:ascii="微软雅黑" w:hAnsi="微软雅黑" w:eastAsia="微软雅黑" w:cs="微软雅黑"/>
                <w:lang w:eastAsia="zh-CN"/>
              </w:rPr>
              <w:t>参考</w:t>
            </w:r>
            <w:r>
              <w:rPr>
                <w:rFonts w:hint="eastAsia" w:ascii="微软雅黑" w:hAnsi="微软雅黑" w:eastAsia="微软雅黑" w:cs="微软雅黑"/>
              </w:rPr>
              <w:t>酒店</w:t>
            </w:r>
          </w:p>
          <w:p w14:paraId="65B93B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rPr>
                <w:rFonts w:hint="eastAsia" w:ascii="微软雅黑" w:hAnsi="微软雅黑" w:eastAsia="微软雅黑" w:cs="微软雅黑"/>
              </w:rPr>
              <w:t>◆ 成都参考酒店：携程5钻酒店：金韵、友豪锦江、</w:t>
            </w:r>
            <w:r>
              <w:rPr>
                <w:rFonts w:hint="eastAsia" w:ascii="微软雅黑" w:hAnsi="微软雅黑" w:eastAsia="微软雅黑" w:cs="微软雅黑"/>
                <w:lang w:eastAsia="zh-CN"/>
              </w:rPr>
              <w:t>悠铂豪生荟、东方美豪丽致</w:t>
            </w:r>
            <w:r>
              <w:rPr>
                <w:rFonts w:hint="eastAsia" w:ascii="微软雅黑" w:hAnsi="微软雅黑" w:eastAsia="微软雅黑" w:cs="微软雅黑"/>
              </w:rPr>
              <w:t>或同级</w:t>
            </w:r>
          </w:p>
          <w:p w14:paraId="61876F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rPr>
                <w:rFonts w:hint="eastAsia" w:ascii="微软雅黑" w:hAnsi="微软雅黑" w:eastAsia="微软雅黑" w:cs="微软雅黑"/>
              </w:rPr>
              <w:t>◆ 九寨沟参考酒店：携程5钻酒店：新九宾、润都、金龙、星宇</w:t>
            </w:r>
            <w:r>
              <w:rPr>
                <w:rFonts w:hint="eastAsia" w:ascii="微软雅黑" w:hAnsi="微软雅黑" w:eastAsia="微软雅黑" w:cs="微软雅黑"/>
                <w:lang w:eastAsia="zh-CN"/>
              </w:rPr>
              <w:t>、九宫</w:t>
            </w:r>
            <w:r>
              <w:rPr>
                <w:rFonts w:hint="eastAsia" w:ascii="微软雅黑" w:hAnsi="微软雅黑" w:eastAsia="微软雅黑" w:cs="微软雅黑"/>
              </w:rPr>
              <w:t>或同级酒店</w:t>
            </w:r>
          </w:p>
        </w:tc>
      </w:tr>
      <w:tr w14:paraId="4147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35" w:type="dxa"/>
            <w:vAlign w:val="center"/>
          </w:tcPr>
          <w:p w14:paraId="680234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当地用车</w:t>
            </w:r>
          </w:p>
        </w:tc>
        <w:tc>
          <w:tcPr>
            <w:tcW w:w="9715" w:type="dxa"/>
            <w:vAlign w:val="center"/>
          </w:tcPr>
          <w:p w14:paraId="719E84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微软雅黑" w:hAnsi="微软雅黑" w:eastAsia="微软雅黑" w:cs="微软雅黑"/>
                <w:lang w:val="en-US"/>
              </w:rPr>
            </w:pPr>
            <w:r>
              <w:rPr>
                <w:rFonts w:hint="eastAsia" w:ascii="微软雅黑" w:hAnsi="微软雅黑" w:eastAsia="微软雅黑" w:cs="微软雅黑"/>
                <w:color w:val="auto"/>
                <w:sz w:val="21"/>
                <w:szCs w:val="21"/>
                <w:lang w:val="en-US" w:eastAsia="zh-CN"/>
              </w:rPr>
              <w:t>汉口-成都往返动车二等座，行程中2+1保姆车</w:t>
            </w:r>
          </w:p>
        </w:tc>
      </w:tr>
      <w:tr w14:paraId="5C18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735" w:type="dxa"/>
            <w:vAlign w:val="center"/>
          </w:tcPr>
          <w:p w14:paraId="57C17B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用餐</w:t>
            </w:r>
          </w:p>
        </w:tc>
        <w:tc>
          <w:tcPr>
            <w:tcW w:w="9715" w:type="dxa"/>
            <w:vAlign w:val="center"/>
          </w:tcPr>
          <w:p w14:paraId="78EBE2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全程含4正5早</w:t>
            </w:r>
          </w:p>
          <w:p w14:paraId="41CE1A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九寨沟沿线当地饮食与游客饮食习惯差异较大，餐饮条件有限，尽请游客谅解并可自备些零食（方便面、榨菜等），（所含早餐和晚餐在所住酒店用餐，中餐在沿路指定餐厅用。因团队选择为团队桌餐，如游客不用餐，餐费一律不退，请见谅）</w:t>
            </w:r>
          </w:p>
        </w:tc>
      </w:tr>
      <w:tr w14:paraId="5F90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735" w:type="dxa"/>
            <w:vAlign w:val="center"/>
          </w:tcPr>
          <w:p w14:paraId="55B743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导游</w:t>
            </w:r>
          </w:p>
        </w:tc>
        <w:tc>
          <w:tcPr>
            <w:tcW w:w="9715" w:type="dxa"/>
            <w:vAlign w:val="center"/>
          </w:tcPr>
          <w:p w14:paraId="276786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当地专线优秀持证导游服务</w:t>
            </w:r>
          </w:p>
        </w:tc>
      </w:tr>
      <w:tr w14:paraId="6AD0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735" w:type="dxa"/>
            <w:vAlign w:val="center"/>
          </w:tcPr>
          <w:p w14:paraId="59D17D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保险</w:t>
            </w:r>
          </w:p>
        </w:tc>
        <w:tc>
          <w:tcPr>
            <w:tcW w:w="9715" w:type="dxa"/>
            <w:vAlign w:val="center"/>
          </w:tcPr>
          <w:p w14:paraId="36BC73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rPr>
                <w:rFonts w:hint="eastAsia" w:ascii="微软雅黑" w:hAnsi="微软雅黑" w:eastAsia="微软雅黑" w:cs="微软雅黑"/>
              </w:rPr>
              <w:t>旅行社责任保险，代购旅游意外伤害险；如因交通事故造成客人身体伤害及财物损失，按照《中华人民共和国道路交通事故处理办法》进行赔偿。解释权及理赔权由保险公司负责。注：保险公司对2岁以下和70岁以上老年人不受理，另身体有疾病的，请不要参加旅行团。老人、小孩建议有家人陪同，在景区游览时要结伴而行。</w:t>
            </w:r>
            <w:r>
              <w:rPr>
                <w:rFonts w:hint="eastAsia" w:eastAsiaTheme="minorEastAsia"/>
                <w:color w:val="EDC977"/>
                <w:lang w:eastAsia="zh-CN"/>
              </w:rPr>
              <w:drawing>
                <wp:anchor distT="0" distB="0" distL="114300" distR="114300" simplePos="0" relativeHeight="251672576" behindDoc="1" locked="0" layoutInCell="1" allowOverlap="1">
                  <wp:simplePos x="0" y="0"/>
                  <wp:positionH relativeFrom="column">
                    <wp:posOffset>-1315085</wp:posOffset>
                  </wp:positionH>
                  <wp:positionV relativeFrom="paragraph">
                    <wp:posOffset>-908685</wp:posOffset>
                  </wp:positionV>
                  <wp:extent cx="7562850" cy="10697210"/>
                  <wp:effectExtent l="0" t="0" r="0" b="8890"/>
                  <wp:wrapNone/>
                  <wp:docPr id="20" name="图片 20"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p>
        </w:tc>
      </w:tr>
      <w:tr w14:paraId="5F0B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735" w:type="dxa"/>
            <w:vAlign w:val="center"/>
          </w:tcPr>
          <w:p w14:paraId="03B7BF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儿童</w:t>
            </w:r>
          </w:p>
        </w:tc>
        <w:tc>
          <w:tcPr>
            <w:tcW w:w="9715" w:type="dxa"/>
            <w:vAlign w:val="center"/>
          </w:tcPr>
          <w:p w14:paraId="3838E2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rPr>
                <w:rFonts w:hint="eastAsia" w:ascii="微软雅黑" w:hAnsi="微软雅黑" w:eastAsia="微软雅黑" w:cs="微软雅黑"/>
              </w:rPr>
              <w:t>12岁以下均按儿童报名，儿童报价只含车、半餐、保险，其余产生自理</w:t>
            </w:r>
          </w:p>
        </w:tc>
      </w:tr>
      <w:tr w14:paraId="1A94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735" w:type="dxa"/>
            <w:vAlign w:val="center"/>
          </w:tcPr>
          <w:p w14:paraId="428B50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购物</w:t>
            </w:r>
          </w:p>
        </w:tc>
        <w:tc>
          <w:tcPr>
            <w:tcW w:w="9715" w:type="dxa"/>
            <w:vAlign w:val="center"/>
          </w:tcPr>
          <w:p w14:paraId="2A9C5B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rPr>
                <w:rFonts w:hint="eastAsia" w:ascii="微软雅黑" w:hAnsi="微软雅黑" w:eastAsia="微软雅黑" w:cs="微软雅黑"/>
                <w:b/>
                <w:bCs/>
              </w:rPr>
              <w:t>无购物</w:t>
            </w:r>
            <w:r>
              <w:rPr>
                <w:rFonts w:hint="eastAsia" w:ascii="微软雅黑" w:hAnsi="微软雅黑" w:eastAsia="微软雅黑" w:cs="微软雅黑"/>
              </w:rPr>
              <w:t>。注:景区内纪念品售卖点，延途休息站小卖部不属于购物店范围。</w:t>
            </w:r>
          </w:p>
        </w:tc>
      </w:tr>
      <w:tr w14:paraId="0998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450" w:type="dxa"/>
            <w:gridSpan w:val="2"/>
            <w:shd w:val="clear" w:color="auto" w:fill="212934" w:themeFill="text2" w:themeFillShade="7F"/>
            <w:vAlign w:val="center"/>
          </w:tcPr>
          <w:p w14:paraId="78D617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color w:val="EDC977"/>
                <w:sz w:val="30"/>
                <w:szCs w:val="30"/>
                <w:lang w:val="en-US" w:eastAsia="zh-CN"/>
              </w:rPr>
              <w:t>费用不含</w:t>
            </w:r>
          </w:p>
        </w:tc>
      </w:tr>
      <w:tr w14:paraId="4349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11450" w:type="dxa"/>
            <w:gridSpan w:val="2"/>
            <w:vAlign w:val="center"/>
          </w:tcPr>
          <w:p w14:paraId="671CFE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（1）景区配套便民服务设施及体验项目；及其其他个人消费项目</w:t>
            </w:r>
          </w:p>
          <w:p w14:paraId="1FE811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（2）九寨沟沟内不同价位中餐（RMB60元/人起）</w:t>
            </w:r>
          </w:p>
          <w:p w14:paraId="04329A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（3）九寨沟单独包车游览的费用；</w:t>
            </w:r>
          </w:p>
          <w:p w14:paraId="187335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都江堰观光车+耳麦（30元/人），松潘上城墙费用（40元/人），九寨沟观光车（90元/人），九寨沟保险（10元/人），黄龙索道（上行80元/人，下行40元/人），黄龙定位器（30元/人），黄龙保险（10元/人），黄龙（观光车20元/人）熊猫基地观光车（30元/人）+耳麦（10元/人），三星堆耳麦（30元/人）</w:t>
            </w:r>
          </w:p>
        </w:tc>
      </w:tr>
      <w:tr w14:paraId="4079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50" w:type="dxa"/>
            <w:gridSpan w:val="2"/>
            <w:shd w:val="clear" w:color="auto" w:fill="212934"/>
            <w:vAlign w:val="center"/>
          </w:tcPr>
          <w:p w14:paraId="2DEC1D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color w:val="F5E954"/>
                <w:sz w:val="28"/>
                <w:szCs w:val="28"/>
                <w:lang w:val="en-US" w:eastAsia="zh-CN"/>
              </w:rPr>
            </w:pPr>
            <w:r>
              <w:rPr>
                <w:rFonts w:hint="eastAsia" w:ascii="微软雅黑" w:hAnsi="微软雅黑" w:eastAsia="微软雅黑" w:cs="微软雅黑"/>
                <w:b/>
                <w:bCs/>
                <w:color w:val="EDC977"/>
                <w:sz w:val="28"/>
                <w:szCs w:val="28"/>
                <w:lang w:val="en-US" w:eastAsia="zh-CN"/>
              </w:rPr>
              <w:t>特别备注</w:t>
            </w:r>
          </w:p>
        </w:tc>
      </w:tr>
      <w:tr w14:paraId="204C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50" w:type="dxa"/>
            <w:gridSpan w:val="2"/>
            <w:shd w:val="clear" w:color="auto" w:fill="auto"/>
            <w:vAlign w:val="center"/>
          </w:tcPr>
          <w:p w14:paraId="532852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1、该线路为高原线路，景色美丽、分散；如有身体不适者，为了你的安全请做好一切准备。</w:t>
            </w:r>
          </w:p>
          <w:p w14:paraId="7F93094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由于途中车辆负荷较大，可能会遇到汽车抛锚并影响行程的情况，请游客作好心理准备。如途中遇人力不可抗拒的因素（如高原反应、修路、塌方、车辆事故阻碍等）我社有权改变行程，如造成超支费用由客人自理。</w:t>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-213360</wp:posOffset>
                  </wp:positionH>
                  <wp:positionV relativeFrom="paragraph">
                    <wp:posOffset>-921385</wp:posOffset>
                  </wp:positionV>
                  <wp:extent cx="7562850" cy="10698480"/>
                  <wp:effectExtent l="0" t="0" r="0" b="7620"/>
                  <wp:wrapNone/>
                  <wp:docPr id="15" name="图片 15" descr="D:\2019工作文档\轻氧\行程包装\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19工作文档\轻氧\行程包装\11.jpg11"/>
                          <pic:cNvPicPr>
                            <a:picLocks noChangeAspect="1"/>
                          </pic:cNvPicPr>
                        </pic:nvPicPr>
                        <pic:blipFill>
                          <a:blip r:embed="rId14"/>
                          <a:srcRect/>
                          <a:stretch>
                            <a:fillRect/>
                          </a:stretch>
                        </pic:blipFill>
                        <pic:spPr>
                          <a:xfrm>
                            <a:off x="0" y="0"/>
                            <a:ext cx="7562850" cy="10698480"/>
                          </a:xfrm>
                          <a:prstGeom prst="rect">
                            <a:avLst/>
                          </a:prstGeom>
                        </pic:spPr>
                      </pic:pic>
                    </a:graphicData>
                  </a:graphic>
                </wp:anchor>
              </w:drawing>
            </w:r>
          </w:p>
          <w:p w14:paraId="00E8BFE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3、请客人备好太阳镜、雨具、防晒霜等物品及防寒衣物和预防高原反应的药物。</w:t>
            </w:r>
          </w:p>
          <w:p w14:paraId="0130C84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4、如果因客观原因减少旅行天数或减少旅游景点，可以经过协商修改旅行线路，本社概不退款。</w:t>
            </w:r>
          </w:p>
          <w:p w14:paraId="69249E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F5E954"/>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5、我社有权在不减少景点的情况下，根据情况调整行程。</w:t>
            </w:r>
          </w:p>
        </w:tc>
      </w:tr>
      <w:tr w14:paraId="17DB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50" w:type="dxa"/>
            <w:gridSpan w:val="2"/>
            <w:shd w:val="clear" w:color="auto" w:fill="212934"/>
            <w:vAlign w:val="center"/>
          </w:tcPr>
          <w:p w14:paraId="1A7E23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color w:val="F5E954"/>
                <w:sz w:val="28"/>
                <w:szCs w:val="28"/>
                <w:lang w:val="en-US" w:eastAsia="zh-CN"/>
              </w:rPr>
            </w:pPr>
            <w:r>
              <w:rPr>
                <w:rFonts w:hint="eastAsia" w:ascii="微软雅黑" w:hAnsi="微软雅黑" w:eastAsia="微软雅黑" w:cs="微软雅黑"/>
                <w:b/>
                <w:bCs/>
                <w:color w:val="EDC977"/>
                <w:sz w:val="28"/>
                <w:szCs w:val="28"/>
                <w:lang w:val="en-US" w:eastAsia="zh-CN"/>
              </w:rPr>
              <w:t>特别说明和注意事项</w:t>
            </w:r>
          </w:p>
        </w:tc>
      </w:tr>
      <w:tr w14:paraId="3B8B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50" w:type="dxa"/>
            <w:gridSpan w:val="2"/>
            <w:shd w:val="clear" w:color="auto" w:fill="auto"/>
            <w:vAlign w:val="center"/>
          </w:tcPr>
          <w:p w14:paraId="16082E4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（作为游客与旅行社旅游合同附件的重要内容，游客签订协议即为同意以下条款）</w:t>
            </w:r>
          </w:p>
        </w:tc>
      </w:tr>
      <w:tr w14:paraId="79BA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50" w:type="dxa"/>
            <w:gridSpan w:val="2"/>
            <w:shd w:val="clear" w:color="auto" w:fill="auto"/>
            <w:vAlign w:val="center"/>
          </w:tcPr>
          <w:p w14:paraId="4A087E4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产品说明】：为保障本线路产品的顺利成团，在您预订成交后，如无特殊原因，不可更改、取消，否则将按退团说明执行；散客拼团有时会出现单段换车换导游的情况，请客人谅解。请注意行程中的每一条温馨提示，请注意各景区张贴的游览须知。行程中停车加水、上厕所、用餐后、上车前均为自由活动时间，自由活动时间请自行</w:t>
            </w:r>
            <w:r>
              <w:rPr>
                <w:rFonts w:hint="eastAsia" w:eastAsiaTheme="minorEastAsia"/>
                <w:color w:val="EDC977"/>
                <w:lang w:eastAsia="zh-CN"/>
              </w:rPr>
              <w:drawing>
                <wp:anchor distT="0" distB="0" distL="114300" distR="114300" simplePos="0" relativeHeight="251673600" behindDoc="1" locked="0" layoutInCell="1" allowOverlap="1">
                  <wp:simplePos x="0" y="0"/>
                  <wp:positionH relativeFrom="column">
                    <wp:posOffset>-213360</wp:posOffset>
                  </wp:positionH>
                  <wp:positionV relativeFrom="paragraph">
                    <wp:posOffset>-908685</wp:posOffset>
                  </wp:positionV>
                  <wp:extent cx="7562850" cy="10697210"/>
                  <wp:effectExtent l="0" t="0" r="0" b="8890"/>
                  <wp:wrapNone/>
                  <wp:docPr id="21" name="图片 21"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负责自身人生安全及财产安全。此产品不适合休闲度假、享受酒店的客人；藏区旅游，请保持乐观情绪，如有心理负担会加重高原反应，延缓人体适应高原气候。行程内的时间仅供参考，具体以实际行车速度及相关路况及游客游览快慢为准；行程先后顺序在实际游览中可能会调整，但景点不减少，公交交通及景区的配套设施设备的容貌及卫生状况不属于旅行社的服务质量范畴，如有意见或建议可向相关主管部门反映。</w:t>
            </w:r>
          </w:p>
          <w:p w14:paraId="7A5342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55172C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不可抗力免责说明】：由于不可抗力等不可归责于旅行社的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在不减少旅游景点的情况下，我社保留旅游行程临时调整的权力</w:t>
            </w:r>
          </w:p>
          <w:p w14:paraId="3B2DBFF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用车说明】：行程内用车为旅游公交交通巴士，散客拼团全程可能非同一台车；因延线有行车公里数限制或部分路段维修，易发生堵车，发车时间均较早，行程内标注出发及行车时间均为预计，具体情况略有不同；为保证车辆制动性能，行车延途均需停车加水；行程内所有自由活动期间及行程外均不含用车。请予以理解。四川旅游车均按每人一正座提前一天定车，根据同团人数安排车型，空调限时开放（主要争对坡路上行中为保证动力，无法开放）；保证一人一座，不提供座次要求；若因大交通（如：航班、火车等）延误、取消、造成无法按时参加我社旅游出团计划者，需向我社交已经产生的旅游车位损失费及行程及合同约定的其它已产生费用。</w:t>
            </w:r>
          </w:p>
          <w:p w14:paraId="1E103AD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购物和自费游览活动说明】：①部份景区内和沿途停留的站点附近均可能会有纪念品售卖点，法物流通处，红景天及御寒衣服等售卖点，沿途休息站（加水点，厕所）小卖部不属于购物店范围。当地居民贩卖纪念品、土特产，非我社提供服务，请谨慎购买，以免上当。②本行程导游推荐自费娱乐项目，景区配套自费设施游客自愿选择，景区有价格向游客明示。如有强迫消费的现象发生，请游客拨打质量监督电话。</w:t>
            </w:r>
          </w:p>
          <w:p w14:paraId="0F11C4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◆【保险说明】：旅行社已经购买旅行社责任险，建议游客购买旅游人身伤害意外险，为自己提供全方位的保障。旅行社责任险是旅行社投保，保险</w:t>
            </w:r>
            <w:r>
              <w:rPr>
                <w:rFonts w:hint="eastAsia" w:eastAsiaTheme="minorEastAsia"/>
                <w:color w:val="EDC977"/>
                <w:lang w:eastAsia="zh-CN"/>
              </w:rPr>
              <w:drawing>
                <wp:anchor distT="0" distB="0" distL="114300" distR="114300" simplePos="0" relativeHeight="251674624" behindDoc="1" locked="0" layoutInCell="1" allowOverlap="1">
                  <wp:simplePos x="0" y="0"/>
                  <wp:positionH relativeFrom="column">
                    <wp:posOffset>-213360</wp:posOffset>
                  </wp:positionH>
                  <wp:positionV relativeFrom="paragraph">
                    <wp:posOffset>-908685</wp:posOffset>
                  </wp:positionV>
                  <wp:extent cx="7562850" cy="10697210"/>
                  <wp:effectExtent l="0" t="0" r="0" b="8890"/>
                  <wp:wrapNone/>
                  <wp:docPr id="22" name="图片 22"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公司承保旅行社在组织旅游活动过程中因疏忽、过失造成事故所应承担的法律赔偿责任的险种。旅游人身意外伤害险(请关注各保险公司对于投保游客年龄的限制，对于70岁以上游客，保险公司一般是不接受投保)，游客自行缴费即为该保险的投保人和受益人，由保险公司对游客受到的意外伤害进行承保，意外伤害的定义是【指遭受外来的、突发的、非本意的、非疾病的客观事件直接致使身体受到的伤害】。游客认真阅读旅游人身意外伤害险的具体条款并无异议后，自己在保险公司购买或委托旅行社代为购买。游客如办理旅游意外险，国内游另交10元/人，由旅行社代游客到保险公司购买，理赔额度解释权归保险公司所有)，70岁以上请自行办理保险，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463DC1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健康说明】：本次长途旅行，时间长、温差大、部分地区海拔高，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②游客出现急症请主动通知工作人员，旅行社将协助游客就进送往当地医疗机构检查治疗;③有听力、视力障碍的游客须有健康旅伴陪同方可参团;个人有精神疾病和无行为控制能力的不能报名参团；④有心、肺、脑和血液系统疾病患者以及其它不适合长途疲劳的人群以及70岁以上老人，不宜报名参加旅行社团。为了你的安全请勿隐瞒病情，你可另择其它线路(如隐瞒病情,后果自负)。</w:t>
            </w:r>
          </w:p>
          <w:p w14:paraId="1D615E2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安全说明】：①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②景区所在地区为藏羌等少数民族聚居区，在旅游中请尊重当地少数民族的宗教信仰和民俗风情；为了您的安全，请入夜后避免单独出行，个别思想开放者请不要在景区有所作为以免造成</w:t>
            </w:r>
            <w:r>
              <w:rPr>
                <w:rFonts w:hint="eastAsia" w:eastAsiaTheme="minorEastAsia"/>
                <w:color w:val="EDC977"/>
                <w:lang w:eastAsia="zh-CN"/>
              </w:rPr>
              <w:drawing>
                <wp:anchor distT="0" distB="0" distL="114300" distR="114300" simplePos="0" relativeHeight="251675648" behindDoc="1" locked="0" layoutInCell="1" allowOverlap="1">
                  <wp:simplePos x="0" y="0"/>
                  <wp:positionH relativeFrom="column">
                    <wp:posOffset>-213360</wp:posOffset>
                  </wp:positionH>
                  <wp:positionV relativeFrom="paragraph">
                    <wp:posOffset>-1304925</wp:posOffset>
                  </wp:positionV>
                  <wp:extent cx="7562850" cy="10697210"/>
                  <wp:effectExtent l="0" t="0" r="0" b="8890"/>
                  <wp:wrapNone/>
                  <wp:docPr id="23" name="图片 23"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不必要的重大损失！自由活动期间，请注意保护自身人生安全及财物安全，过马路请小心；③沿途停车加水或上厕所等任何一个停留地点，请你上下车注意脚下、头顶及周边安全，不要在汽车道公路边崖边活动停留，沿途上厕所大部份都有当地人收费，请主动付费，不要与当地人发生无谓的争吵；</w:t>
            </w:r>
          </w:p>
          <w:p w14:paraId="1E673F3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未成年人保护说明】：旅行社不接受未满十八周岁、不具备完全民事行为能力的未成年人单独参团。未成年人必须有成年人陪伴方可参团，一起报名参团的成人即为其参团过程中的监护人，有责任和义务做好未成年人的安全防范工作。</w:t>
            </w:r>
          </w:p>
          <w:p w14:paraId="641C0D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【甲方代表与合同变更说明】：甲方（即旅游者）签订合同的代表必须征得合同内所有游客的同意，方可代表甲方与旅行社签订合同，合同变更的相关事宜也必须由合同签订人携带合同到旅行社进行变更。</w:t>
            </w:r>
          </w:p>
          <w:p w14:paraId="0EC9F4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气候说明】：九寨沟黄龙为高山气候，要有足够的御寒衣物，需准备长袖衣裤、羊毛衫、夹克衫，。即使是夏季也早晚凉、中午热，因此要注意保暖，特别预防感冒和上呼吸道感染。景区日照强，紫外线强。黄龙景区海拔较高,部分游客可能有轻微高原反应，请自备抗高原反应的药物或氧气。</w:t>
            </w:r>
          </w:p>
          <w:p w14:paraId="5441553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特别约定说明】：①行程中发生纠纷，旅游者不得以拒绝登（下）车（机、船）、入住酒店等行为拖延行程或者脱团，否则，除承担给旅行社造成的实际损失外，还要承担旅游费用20-30%的违约金。②游客投诉以在途中填写的《行程满意度调查表或旅行社服务质量跟踪表》为准，请团友认真填写；在行程中，如对服务及接待标准有异议，请及时与带团导游沟通或直接反馈回旅行社。③请您仔细阅读行程及游客须知，如有异议，请在签订本次行程计划合约前提出，协议一旦签订，旅行社即按行程内容安排接待，如若您没有按相关注意事项执行，造成的一切责任后果及相关损失将由您自行承担。</w:t>
            </w:r>
          </w:p>
          <w:p w14:paraId="4A8E97C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其它提醒】：藏民的卫生生活习惯都与汉族有所不同，湿纸巾、个人卫生用品，提前要带足这些东西。适量饮用酥油茶、奶制品、红景天等饮料可增强对高原气候的适应能力，饮食宜有节制，不可暴饮暴食，以免增加肠胃负担，身份证、护照（外籍人士）、银行卡(农行/建行/邮政储蓄)、信用卡、现金等（现金不要带太多）；背包、腰包(放随身重要物品),防水雨具；防寒服，旅游鞋（最好是防水旅游鞋</w:t>
            </w:r>
            <w:r>
              <w:rPr>
                <w:rFonts w:hint="eastAsia" w:eastAsiaTheme="minorEastAsia"/>
                <w:color w:val="EDC977"/>
                <w:lang w:eastAsia="zh-CN"/>
              </w:rPr>
              <w:drawing>
                <wp:anchor distT="0" distB="0" distL="114300" distR="114300" simplePos="0" relativeHeight="251676672" behindDoc="1" locked="0" layoutInCell="1" allowOverlap="1">
                  <wp:simplePos x="0" y="0"/>
                  <wp:positionH relativeFrom="column">
                    <wp:posOffset>-213360</wp:posOffset>
                  </wp:positionH>
                  <wp:positionV relativeFrom="paragraph">
                    <wp:posOffset>-908685</wp:posOffset>
                  </wp:positionV>
                  <wp:extent cx="7562850" cy="10697210"/>
                  <wp:effectExtent l="0" t="0" r="0" b="8890"/>
                  <wp:wrapNone/>
                  <wp:docPr id="24" name="图片 24" descr="E:/2025童话新产品/2025九寨壹号/行程包装/行程底版.jpg行程底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2025童话新产品/2025九寨壹号/行程包装/行程底版.jpg行程底版"/>
                          <pic:cNvPicPr>
                            <a:picLocks noChangeAspect="1"/>
                          </pic:cNvPicPr>
                        </pic:nvPicPr>
                        <pic:blipFill>
                          <a:blip r:embed="rId13"/>
                          <a:srcRect t="4" b="4"/>
                          <a:stretch>
                            <a:fillRect/>
                          </a:stretch>
                        </pic:blipFill>
                        <pic:spPr>
                          <a:xfrm>
                            <a:off x="0" y="0"/>
                            <a:ext cx="7562850" cy="10697210"/>
                          </a:xfrm>
                          <a:prstGeom prst="rect">
                            <a:avLst/>
                          </a:prstGeom>
                        </pic:spPr>
                      </pic:pic>
                    </a:graphicData>
                  </a:graphic>
                </wp:anchor>
              </w:drawing>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排汗保暖内衣1－2套，换洗内衣裤若干，厚棉袜若干，防晒霜（50SPFPA+以上）、太阳镜、太阳帽、润肤霜、唇膏；感冒药、肠胃药、阿斯匹林、安定、头痛粉等物品；全球通手机、相机、充电器、备用电池(充电设备多的,最好准备一个轻便的多用插线板,免得大家抢插座)。</w:t>
            </w:r>
          </w:p>
        </w:tc>
      </w:tr>
      <w:tr w14:paraId="5F93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450" w:type="dxa"/>
            <w:gridSpan w:val="2"/>
            <w:shd w:val="clear" w:color="auto" w:fill="auto"/>
            <w:vAlign w:val="center"/>
          </w:tcPr>
          <w:p w14:paraId="18BE4EB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p>
          <w:p w14:paraId="332318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请仔细阅读以上行程及服务标准说明，同意并保证遵守旅行社安排。如产生合同纠纷或人身意外事故，按《中华人民共和国合同法》、《中华人民共和国旅游法》、《道路交通法》、《保险赔偿条例》、《消费者权益保护法》裁定。此行程作为旅游合同附页与旅游合同同等法律效力。</w:t>
            </w:r>
          </w:p>
          <w:p w14:paraId="3FE74C5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p>
        </w:tc>
      </w:tr>
      <w:tr w14:paraId="60F7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3" w:hRule="atLeast"/>
        </w:trPr>
        <w:tc>
          <w:tcPr>
            <w:tcW w:w="11450" w:type="dxa"/>
            <w:gridSpan w:val="2"/>
            <w:shd w:val="clear" w:color="auto" w:fill="auto"/>
            <w:vAlign w:val="top"/>
          </w:tcPr>
          <w:p w14:paraId="20545130">
            <w:pPr>
              <w:spacing w:beforeLines="0" w:afterLines="0" w:line="360" w:lineRule="exact"/>
              <w:ind w:firstLine="478" w:firstLineChars="199"/>
              <w:rPr>
                <w:rFonts w:hint="eastAsia" w:ascii="微软雅黑" w:hAnsi="微软雅黑" w:eastAsia="微软雅黑" w:cs="微软雅黑"/>
                <w:b/>
                <w:sz w:val="24"/>
                <w:szCs w:val="24"/>
              </w:rPr>
            </w:pPr>
          </w:p>
          <w:p w14:paraId="7245F04C">
            <w:pPr>
              <w:spacing w:beforeLines="0" w:afterLines="0" w:line="360" w:lineRule="exact"/>
              <w:ind w:firstLine="478" w:firstLineChars="199"/>
              <w:rPr>
                <w:rFonts w:hint="eastAsia" w:ascii="微软雅黑" w:hAnsi="微软雅黑" w:eastAsia="微软雅黑" w:cs="微软雅黑"/>
                <w:b/>
                <w:sz w:val="24"/>
                <w:szCs w:val="24"/>
              </w:rPr>
            </w:pPr>
          </w:p>
          <w:p w14:paraId="2F26225F">
            <w:pPr>
              <w:spacing w:beforeLines="0" w:afterLines="0" w:line="360" w:lineRule="exact"/>
              <w:ind w:firstLine="478" w:firstLineChars="199"/>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我已阅读并充分理解所有内容，并愿意在友好、平等、自愿的情况下确认；旅行社已就此次行程的购物相关、自费特色、自理项目事宜及相关风险对我进行了全面的告知、提醒。我经慎重考虑后，自愿前往上述购物场所购买商品，自愿按照自己喜好参加自费和自理项目，旅行社并无强迫。我承诺将按照导游提醒办理相关事宜，并遵循旅行社的提示理性消费、注意保留购物单据、注意自身人身财产安全。如因自身原因取消或因旅行社不能控制因素无法安排的，对旅行社予以理解。</w:t>
            </w:r>
          </w:p>
          <w:p w14:paraId="75A74C10">
            <w:pPr>
              <w:spacing w:beforeLines="0" w:afterLines="0" w:line="360" w:lineRule="exact"/>
              <w:ind w:firstLine="348" w:firstLineChars="145"/>
              <w:rPr>
                <w:rFonts w:hint="eastAsia" w:ascii="微软雅黑" w:hAnsi="微软雅黑" w:eastAsia="微软雅黑" w:cs="微软雅黑"/>
                <w:b/>
                <w:sz w:val="24"/>
                <w:szCs w:val="24"/>
              </w:rPr>
            </w:pPr>
          </w:p>
          <w:p w14:paraId="797409A1">
            <w:pPr>
              <w:spacing w:beforeLines="0" w:afterLines="0" w:line="360" w:lineRule="exact"/>
              <w:ind w:firstLine="348" w:firstLineChars="145"/>
              <w:rPr>
                <w:rFonts w:hint="eastAsia" w:ascii="微软雅黑" w:hAnsi="微软雅黑" w:eastAsia="微软雅黑" w:cs="微软雅黑"/>
                <w:b/>
                <w:sz w:val="24"/>
                <w:szCs w:val="24"/>
              </w:rPr>
            </w:pPr>
          </w:p>
          <w:p w14:paraId="68DB44BE">
            <w:pPr>
              <w:spacing w:beforeLines="0" w:afterLines="0" w:line="360" w:lineRule="exact"/>
              <w:ind w:firstLine="348" w:firstLineChars="145"/>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p w14:paraId="27CDE678">
            <w:pPr>
              <w:spacing w:beforeLines="0" w:afterLine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p>
          <w:p w14:paraId="228359CF">
            <w:pPr>
              <w:spacing w:beforeLines="0" w:afterLine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游客签名：      </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日期：</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w:t>
            </w:r>
          </w:p>
          <w:p w14:paraId="559F5013">
            <w:pPr>
              <w:spacing w:beforeLines="0" w:afterLines="0" w:line="240" w:lineRule="atLeast"/>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p>
          <w:p w14:paraId="4779B9E9">
            <w:pPr>
              <w:spacing w:beforeLines="0" w:afterLine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p>
          <w:p w14:paraId="51271CBF">
            <w:pPr>
              <w:spacing w:beforeLines="0" w:afterLines="0"/>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sz w:val="24"/>
                <w:szCs w:val="24"/>
              </w:rPr>
              <w:t>组团社代表签名：</w:t>
            </w:r>
            <w:r>
              <w:rPr>
                <w:rFonts w:hint="eastAsia" w:ascii="微软雅黑" w:hAnsi="微软雅黑" w:eastAsia="微软雅黑" w:cs="微软雅黑"/>
                <w:sz w:val="24"/>
                <w:szCs w:val="24"/>
                <w:u w:val="single"/>
              </w:rPr>
              <w:t xml:space="preserve">                             </w:t>
            </w:r>
            <w:r>
              <w:rPr>
                <w:rFonts w:hint="eastAsia" w:ascii="微软雅黑" w:hAnsi="微软雅黑" w:eastAsia="微软雅黑" w:cs="微软雅黑"/>
                <w:sz w:val="24"/>
                <w:szCs w:val="24"/>
              </w:rPr>
              <w:t xml:space="preserve">                           日期：</w:t>
            </w:r>
            <w:r>
              <w:rPr>
                <w:rFonts w:hint="eastAsia" w:ascii="微软雅黑" w:hAnsi="微软雅黑" w:eastAsia="微软雅黑" w:cs="微软雅黑"/>
                <w:sz w:val="24"/>
                <w:szCs w:val="24"/>
                <w:u w:val="single"/>
              </w:rPr>
              <w:t xml:space="preserve">                         </w:t>
            </w:r>
          </w:p>
        </w:tc>
      </w:tr>
    </w:tbl>
    <w:p w14:paraId="0334BC92">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displayBackgroundShape w:val="1"/>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A451A"/>
    <w:rsid w:val="00DD1724"/>
    <w:rsid w:val="03097EA4"/>
    <w:rsid w:val="03AB7CBB"/>
    <w:rsid w:val="07117EF5"/>
    <w:rsid w:val="091F2D9D"/>
    <w:rsid w:val="11252F1A"/>
    <w:rsid w:val="11D41D4C"/>
    <w:rsid w:val="140D0A55"/>
    <w:rsid w:val="14101C60"/>
    <w:rsid w:val="166938A9"/>
    <w:rsid w:val="17F3167D"/>
    <w:rsid w:val="1C717C02"/>
    <w:rsid w:val="1E3E73CA"/>
    <w:rsid w:val="219C2D85"/>
    <w:rsid w:val="235D065A"/>
    <w:rsid w:val="28100677"/>
    <w:rsid w:val="28910CF3"/>
    <w:rsid w:val="2B7B1242"/>
    <w:rsid w:val="2CF3439C"/>
    <w:rsid w:val="2E3A7BAD"/>
    <w:rsid w:val="30197B57"/>
    <w:rsid w:val="31F6028F"/>
    <w:rsid w:val="33947D60"/>
    <w:rsid w:val="33BC1065"/>
    <w:rsid w:val="349436A9"/>
    <w:rsid w:val="38C06F01"/>
    <w:rsid w:val="3D080266"/>
    <w:rsid w:val="3E83181D"/>
    <w:rsid w:val="3E950175"/>
    <w:rsid w:val="3FFF1884"/>
    <w:rsid w:val="429513FF"/>
    <w:rsid w:val="439058EE"/>
    <w:rsid w:val="44EA7E77"/>
    <w:rsid w:val="48C4134A"/>
    <w:rsid w:val="4BC61AE0"/>
    <w:rsid w:val="4C4C6FD2"/>
    <w:rsid w:val="4DFF0074"/>
    <w:rsid w:val="4FB55629"/>
    <w:rsid w:val="4FC155E1"/>
    <w:rsid w:val="51360251"/>
    <w:rsid w:val="583B7EFB"/>
    <w:rsid w:val="58CD3249"/>
    <w:rsid w:val="5F6E639A"/>
    <w:rsid w:val="62786E66"/>
    <w:rsid w:val="6324615B"/>
    <w:rsid w:val="64610CE9"/>
    <w:rsid w:val="683C5CF5"/>
    <w:rsid w:val="69077BF7"/>
    <w:rsid w:val="6B0C38CA"/>
    <w:rsid w:val="6C224D81"/>
    <w:rsid w:val="6D2069D3"/>
    <w:rsid w:val="6D8A457D"/>
    <w:rsid w:val="6DD01DB9"/>
    <w:rsid w:val="70176B03"/>
    <w:rsid w:val="72321F6C"/>
    <w:rsid w:val="73837C4F"/>
    <w:rsid w:val="73E55492"/>
    <w:rsid w:val="758962F1"/>
    <w:rsid w:val="78984B96"/>
    <w:rsid w:val="789B2F05"/>
    <w:rsid w:val="78C55892"/>
    <w:rsid w:val="7D0D1339"/>
    <w:rsid w:val="7D472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8135</Words>
  <Characters>8339</Characters>
  <Lines>1</Lines>
  <Paragraphs>1</Paragraphs>
  <TotalTime>5</TotalTime>
  <ScaleCrop>false</ScaleCrop>
  <LinksUpToDate>false</LinksUpToDate>
  <CharactersWithSpaces>8550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2019-04-02T08:19:00Z</dcterms:created>
  <dc:creator>Administrator</dc:creator>
  <cp:lastModifiedBy>欢</cp:lastModifiedBy>
  <dcterms:modified xsi:type="dcterms:W3CDTF">2025-03-20T09:39:59Z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461F1FB3191E4D52A51D7EDCB05A19BA_13</vt:lpwstr>
  </property>
  <property fmtid="{D5CDD505-2E9C-101B-9397-08002B2CF9AE}" pid="4" name="KSOTemplateDocerSaveRecord">
    <vt:lpwstr>eyJoZGlkIjoiZTc0Mzc3ZTI1NmUyMWMzNGFjZTdiODYzNGI3ZTFhNzYiLCJ1c2VySWQiOiIzODUxNzk3MDEifQ==</vt:lpwstr>
  </property>
</Properties>
</file>