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BE2A3266">
      <w:pPr>
        <w:spacing w:lineRule="auto" w:line="240"/>
        <w:jc w:val="both"/>
        <w:rPr/>
      </w:pPr>
      <w:bookmarkStart w:id="0" w:name="_GoBack"/>
      <w:bookmarkEnd w:id="0"/>
      <w:r>
        <w:rPr>
          <w:rFonts w:ascii="黑体" w:cs="黑体" w:eastAsia="黑体" w:hAnsi="黑体" w:hint="default"/>
          <w:b w:val="false"/>
          <w:bCs w:val="false"/>
          <w:i w:val="false"/>
          <w:iCs w:val="false"/>
          <w:color w:val="auto"/>
          <w:kern w:val="2"/>
          <w:sz w:val="32"/>
          <w:szCs w:val="28"/>
          <w:highlight w:val="none"/>
          <w:vertAlign w:val="baseline"/>
          <w:em w:val="none"/>
          <w:lang w:val="en-US" w:bidi="ar-SA" w:eastAsia="zh-CN"/>
        </w:rPr>
        <w:t>附件2：</w:t>
      </w:r>
    </w:p>
    <w:p w14:paraId="DD0076DD">
      <w:pPr>
        <w:widowControl/>
        <w:spacing w:lineRule="exact" w:line="440"/>
        <w:jc w:val="center"/>
        <w:rPr/>
      </w:pPr>
      <w:r>
        <w:rPr>
          <w:rFonts w:ascii="方正小标宋简体" w:cs="黑体" w:eastAsia="方正小标宋简体" w:hAnsi="黑体" w:hint="default"/>
          <w:b w:val="false"/>
          <w:bCs w:val="false"/>
          <w:i w:val="false"/>
          <w:iCs w:val="false"/>
          <w:color w:val="auto"/>
          <w:kern w:val="0"/>
          <w:sz w:val="28"/>
          <w:szCs w:val="28"/>
          <w:highlight w:val="none"/>
          <w:vertAlign w:val="baseline"/>
          <w:em w:val="none"/>
          <w:lang w:val="en-US" w:bidi="ar-SA" w:eastAsia="zh-CN"/>
        </w:rPr>
        <w:t>参赛运动员体检指导意见</w:t>
      </w:r>
    </w:p>
    <w:p w14:paraId="70E8D0F1">
      <w:pPr>
        <w:widowControl/>
        <w:spacing w:lineRule="exact" w:line="440"/>
        <w:jc w:val="left"/>
        <w:rPr/>
      </w:pPr>
    </w:p>
    <w:p w14:paraId="E48B6A71">
      <w:pPr>
        <w:widowControl/>
        <w:spacing w:lineRule="exact" w:line="440"/>
        <w:ind w:firstLine="480" w:firstLineChars="200"/>
        <w:jc w:val="left"/>
        <w:outlineLvl w:val="0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一、体检的必要性</w:t>
      </w:r>
    </w:p>
    <w:p w14:paraId="03B958C8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一）铁人三项运动具有赛程长、强度高、赛场环境不稳定等特点。对人体的刺激是剧烈和深重的，会不可避免地发生各种急性伤病，以心血管、呼吸、中枢神经、胃肠道和运动（骨和肌肉等）系统的刺激或损害为主，重者可危及生命。</w:t>
      </w:r>
    </w:p>
    <w:p w14:paraId="2B9ED33A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二）由于急性伤病具有不可预测性，因此对运动员全面身体检查、循症系统监控、积极防治伤病、建立健康档案等模式是非常重要和必要的。良好的身体状况是从事铁人三项运动的基础，在伤病状况下进行铁人三项运动，会增加运动员的健康安全风险。</w:t>
      </w:r>
    </w:p>
    <w:p w14:paraId="FEC9EB76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（三）为了最大程度地保障参赛运动员的健康安全，确立“超前预防”思想，特制定此体检指导意见。运动员未能按要求进行身体健康检查或检查结果不符合以下要求的，不得参赛。</w:t>
      </w:r>
    </w:p>
    <w:p w14:paraId="79973775">
      <w:pPr>
        <w:widowControl/>
        <w:spacing w:lineRule="exact" w:line="440"/>
        <w:ind w:firstLine="480" w:firstLineChars="200"/>
        <w:jc w:val="left"/>
        <w:outlineLvl w:val="0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二、综合要求</w:t>
      </w:r>
    </w:p>
    <w:p w14:paraId="B410364D">
      <w:pPr>
        <w:widowControl/>
        <w:spacing w:lineRule="exact" w:line="440"/>
        <w:ind w:firstLine="480" w:firstLineChars="200"/>
        <w:jc w:val="left"/>
        <w:outlineLvl w:val="0"/>
        <w:rPr/>
      </w:pPr>
      <w:r>
        <w:rPr>
          <w:rFonts w:ascii="仿宋" w:cs="仿宋" w:eastAsia="仿宋" w:hAnsi="仿宋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（一）赛前体检</w:t>
      </w:r>
    </w:p>
    <w:p w14:paraId="5B7987CE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运动员必须及时了解自身的健康和体能状况，</w:t>
      </w: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建议定期进行体检，如较长时间没有参加高强度赛事的，建议赛前进行体检</w:t>
      </w: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（最长不超过赛前</w:t>
      </w:r>
      <w:r>
        <w:rPr>
          <w:rFonts w:ascii="仿宋" w:cs="仿宋" w:eastAsia="仿宋" w:hAnsi="仿宋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六个月</w:t>
      </w: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），自行到“二级甲”或以上等级的医院进行体检。</w:t>
      </w:r>
    </w:p>
    <w:p w14:paraId="5FF9F6E2">
      <w:pPr>
        <w:widowControl/>
        <w:spacing w:lineRule="exact" w:line="440"/>
        <w:ind w:firstLine="480" w:firstLineChars="200"/>
        <w:jc w:val="left"/>
        <w:outlineLvl w:val="0"/>
        <w:rPr/>
      </w:pPr>
      <w:r>
        <w:rPr>
          <w:rFonts w:ascii="仿宋" w:cs="仿宋" w:eastAsia="仿宋" w:hAnsi="仿宋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（二）自我监控</w:t>
      </w:r>
    </w:p>
    <w:p w14:paraId="37EEDE6C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赛前单次体检结果正常，仅仅表示选择的体检项目所反映的身体健康状况。由于体检方法及项目所限，并</w:t>
      </w:r>
      <w:r>
        <w:rPr>
          <w:rFonts w:ascii="仿宋" w:cs="仿宋" w:eastAsia="仿宋" w:hAnsi="仿宋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不能</w:t>
      </w: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完全排除身体潜在的风险；由于“人身体状况的可变性”，更</w:t>
      </w:r>
      <w:r>
        <w:rPr>
          <w:rFonts w:ascii="仿宋" w:cs="仿宋" w:eastAsia="仿宋" w:hAnsi="仿宋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不能</w:t>
      </w: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证明运动员完全有能力安全完成比赛。因此每位参赛运动员必须做到：</w:t>
      </w:r>
    </w:p>
    <w:p w14:paraId="281D3634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1．赛前主动确保自身状况良好，没有感冒、发热、病毒性或细菌性扁桃体炎、咽喉炎、胃肠炎、其它急慢性伤病等。</w:t>
      </w:r>
    </w:p>
    <w:p w14:paraId="C5A7F496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2．运动员在比赛中，应时刻保持对自身身体状况的监控，如出现胸闷、胸痛、心慌、恶心、呼吸困难、异常疲劳等情况，应立即停止比赛，并向最近的医疗点或赛事工作人员寻求帮助。</w:t>
      </w:r>
    </w:p>
    <w:p w14:paraId="FB494EDD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3.运动员赛前一天及赛事当天严禁饮酒。</w:t>
      </w:r>
    </w:p>
    <w:p w14:paraId="66689E46">
      <w:pPr>
        <w:widowControl/>
        <w:spacing w:lineRule="exact" w:line="440"/>
        <w:ind w:firstLine="480" w:firstLineChars="200"/>
        <w:jc w:val="left"/>
        <w:outlineLvl w:val="0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三、体检项目</w:t>
      </w:r>
    </w:p>
    <w:p w14:paraId="1359D66C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以下体检项目是根据铁人三项运动中的常见急性伤病所设：</w:t>
      </w:r>
    </w:p>
    <w:p w14:paraId="1C2BEB45">
      <w:pPr>
        <w:spacing w:lineRule="auto" w:line="240"/>
        <w:jc w:val="both"/>
        <w:rPr/>
      </w:pPr>
    </w:p>
    <w:p w14:paraId="F7B795AC">
      <w:pPr>
        <w:spacing w:lineRule="auto" w:line="240"/>
        <w:ind w:firstLine="480" w:firstLineChars="200"/>
        <w:jc w:val="both"/>
        <w:rPr/>
      </w:pPr>
      <w:r>
        <w:rPr>
          <w:rFonts w:ascii="仿宋" w:cs="仿宋" w:eastAsia="仿宋" w:hAnsi="仿宋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</w:t>
      </w:r>
      <w:r>
        <w:rPr>
          <w:rFonts w:ascii="仿宋" w:cs="仿宋" w:eastAsia="仿宋" w:hAnsi="仿宋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一）</w:t>
      </w:r>
      <w:r>
        <w:rPr>
          <w:rFonts w:ascii="仿宋" w:cs="仿宋" w:eastAsia="仿宋" w:hAnsi="仿宋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内外科一般检查（所有运动员）</w:t>
      </w:r>
    </w:p>
    <w:p w14:paraId="F7FD4496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重点询问和甄别参赛运动员有无以下情况：</w:t>
      </w:r>
    </w:p>
    <w:p w14:paraId="93C7381B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1．心血管系统疾病，如高血压、瓣膜病、冠心病、心肌病；</w:t>
      </w:r>
    </w:p>
    <w:p w14:paraId="A8304196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2．中枢神经系统疾病，如癫痫、严重神经衰弱综合征；</w:t>
      </w:r>
    </w:p>
    <w:p w14:paraId="92005BC1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3．猝死等家族史；</w:t>
      </w:r>
    </w:p>
    <w:p w14:paraId="B977E227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4．运动性应激性或急性伤病的既往史；</w:t>
      </w:r>
    </w:p>
    <w:p w14:paraId="C31DD4B9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5．呼吸系统疾病，如过敏性支气管哮喘、急或慢性呼吸道感染；</w:t>
      </w:r>
    </w:p>
    <w:p w14:paraId="8C104F22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6．胃肠道疾病，如消化道溃疡活动期。</w:t>
      </w:r>
    </w:p>
    <w:p w14:paraId="54E04389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（二）血压检查（仅13岁以上运动员）</w:t>
      </w:r>
    </w:p>
    <w:p w14:paraId="E0AA9134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1．50岁以下的运动员：收缩压≤130mmHg（17.3KPa），舒张压≤85mmHg（11.3KPa）；</w:t>
      </w:r>
    </w:p>
    <w:p w14:paraId="38BAE0CE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2．50岁以上（包括50岁）的运动员：收缩压≤140mmHg（18.6KPa），舒张压≤90mmHg（12KPa）。</w:t>
      </w:r>
    </w:p>
    <w:p w14:paraId="F727EEA2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（三）心电图检查（所有运动员）</w:t>
      </w:r>
    </w:p>
    <w:p w14:paraId="386A7844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心电图报告须经医师诊断，评估标准如下：</w:t>
      </w:r>
    </w:p>
    <w:p w14:paraId="3FCDA1CC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1．正常心电图（经医院确诊无明显异常）：</w:t>
      </w:r>
    </w:p>
    <w:p w14:paraId="A38DA958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（1）窦性心律；</w:t>
      </w:r>
    </w:p>
    <w:p w14:paraId="0A7FB42A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（2）成人心率40～100次/分（专业运动员心率可低于40次/分）。</w:t>
      </w:r>
    </w:p>
    <w:p w14:paraId="56EEE4C3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2．不符合参赛条件的异常心电图包括但不限于：</w:t>
      </w:r>
    </w:p>
    <w:p w14:paraId="14EB947C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（1）窦性心动过速，成人心率＞100次/分；室性心动过速；</w:t>
      </w:r>
    </w:p>
    <w:p w14:paraId="2C5DC4F6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（2）频发的窦性心律不齐；</w:t>
      </w:r>
    </w:p>
    <w:p w14:paraId="3F36F5CC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（3）窦性停搏；房性、交界性、室性期前收缩或逸搏；</w:t>
      </w:r>
    </w:p>
    <w:p w14:paraId="F3418830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（4）病态窦房结综合症；</w:t>
      </w:r>
    </w:p>
    <w:p w14:paraId="6B6FF3C4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（5）Ⅱ度及以上的窦房、房室传导、左束支传导等阻滞；</w:t>
      </w:r>
    </w:p>
    <w:p w14:paraId="6FD07C68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（6）预激综合征；</w:t>
      </w:r>
    </w:p>
    <w:p w14:paraId="013FD75F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（7）心肌缺血，ST段缺血型降低（包括水平型、下垂型、弓背型、下陷型、近似缺血型），T波改变（包括低平、双向、倒置），Q－T间期延长，U波倒置，心律失常等；</w:t>
      </w:r>
    </w:p>
    <w:p w14:paraId="CCB8E615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（8）其他心电图异常，如房颤。</w:t>
      </w:r>
    </w:p>
    <w:p w14:paraId="110D3C8B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（四）“血生化全项”（可酌情加做）</w:t>
      </w:r>
    </w:p>
    <w:p w14:paraId="3E1F0560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判断肝肾功能，血糖血脂、血清离子、心肌酶谱等的情况。</w:t>
      </w:r>
    </w:p>
    <w:p w14:paraId="2B6435C1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/>
          <w:bCs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（五）“彩色超声心动图”（可酌情加做）</w:t>
      </w:r>
    </w:p>
    <w:p w14:paraId="6C063E93">
      <w:pPr>
        <w:widowControl/>
        <w:spacing w:lineRule="exact" w:line="440"/>
        <w:ind w:firstLine="480" w:firstLineChars="200"/>
        <w:jc w:val="left"/>
        <w:rPr/>
      </w:pPr>
      <w:r>
        <w:rPr>
          <w:rFonts w:ascii="仿宋" w:cs="仿宋" w:eastAsia="仿宋" w:hAnsi="仿宋" w:hint="default"/>
          <w:b w:val="false"/>
          <w:bCs w:val="false"/>
          <w:i w:val="false"/>
          <w:iCs w:val="false"/>
          <w:color w:val="auto"/>
          <w:kern w:val="0"/>
          <w:sz w:val="24"/>
          <w:szCs w:val="24"/>
          <w:highlight w:val="none"/>
          <w:vertAlign w:val="baseline"/>
          <w:em w:val="none"/>
          <w:lang w:val="en-US" w:bidi="ar-SA" w:eastAsia="zh-CN"/>
        </w:rPr>
        <w:t>判断心室、心房、瓣膜、心肌及其运动（收缩能力和顺应性）、射血分数及心输出量等的情况，规避心脏结构紊乱。</w:t>
      </w:r>
    </w:p>
    <w:p w14:paraId="BCA08908"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黑体"/>
    <w:panose1 w:val="02010600030001010101"/>
    <w:charset w:val="7a"/>
    <w:family w:val="auto"/>
    <w:pitch w:val="default"/>
    <w:sig w:usb0="00000001" w:usb1="080E0000" w:usb2="00000000" w:usb3="00000000" w:csb0="00040000" w:csb1="00000000"/>
  </w:font>
  <w:font w:name="方正小标宋简体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  <w:font w:name="仿宋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66">
    <w:name w:val="Body Text"/>
    <w:basedOn w:val="style0"/>
    <w:next w:val="style4094"/>
    <w:qFormat/>
    <w:pPr>
      <w:widowControl w:val="false"/>
      <w:spacing w:before="0" w:after="0"/>
      <w:ind w:left="140" w:right="0"/>
      <w:jc w:val="both"/>
    </w:pPr>
    <w:rPr>
      <w:rFonts w:ascii="Times New Roman" w:cs="Times New Roman" w:eastAsia="宋体" w:hAnsi="Times New Roman"/>
      <w:kern w:val="2"/>
      <w:sz w:val="21"/>
      <w:szCs w:val="24"/>
      <w:lang w:val="en-US" w:bidi="ar-SA" w:eastAsia="zh-CN"/>
    </w:rPr>
  </w:style>
  <w:style w:type="paragraph" w:customStyle="1" w:styleId="style4099">
    <w:name w:val="&quot;BodyText&quot;"/>
    <w:basedOn w:val="style0"/>
    <w:next w:val="style4094"/>
    <w:qFormat/>
    <w:pPr>
      <w:widowControl w:val="false"/>
      <w:tabs>
        <w:tab w:val="left" w:leader="none" w:pos="280"/>
      </w:tabs>
      <w:spacing w:after="0"/>
      <w:jc w:val="both"/>
    </w:pPr>
    <w:rPr>
      <w:rFonts w:ascii="Times New Roman" w:cs="Times New Roman" w:eastAsia="宋体" w:hAnsi="Times New Roman"/>
      <w:kern w:val="2"/>
      <w:sz w:val="21"/>
      <w:szCs w:val="24"/>
      <w:lang w:val="en-US" w:bidi="ar-SA" w:eastAsia="zh-CN"/>
    </w:rPr>
  </w:style>
  <w:style w:type="paragraph" w:customStyle="1" w:styleId="style4097">
    <w:name w:val="&quot;列表段落&quot;"/>
    <w:basedOn w:val="style0"/>
    <w:next w:val="style4094"/>
    <w:qFormat/>
    <w:pPr>
      <w:widowControl w:val="false"/>
      <w:spacing w:after="0"/>
      <w:ind w:firstLine="420" w:firstLineChars="200"/>
      <w:jc w:val="both"/>
    </w:pPr>
    <w:rPr>
      <w:rFonts w:ascii="Times New Roman" w:cs="Times New Roman" w:eastAsia="宋体" w:hAnsi="Times New Roman"/>
      <w:kern w:val="2"/>
      <w:sz w:val="21"/>
      <w:szCs w:val="24"/>
      <w:lang w:val="en-US" w:bidi="ar-SA" w:eastAsia="zh-CN"/>
    </w:rPr>
  </w:style>
  <w:style w:type="paragraph" w:styleId="style32">
    <w:name w:val="footer"/>
    <w:basedOn w:val="style0"/>
    <w:next w:val="style4094"/>
    <w:qFormat/>
    <w:pPr>
      <w:widowControl w:val="false"/>
      <w:tabs>
        <w:tab w:val="center" w:leader="none" w:pos="4140"/>
        <w:tab w:val="right" w:leader="none" w:pos="8300"/>
      </w:tabs>
      <w:spacing w:after="0"/>
      <w:jc w:val="left"/>
    </w:pPr>
    <w:rPr>
      <w:rFonts w:ascii="Times New Roman" w:cs="Times New Roman" w:eastAsia="宋体" w:hAnsi="Times New Roman"/>
      <w:kern w:val="2"/>
      <w:sz w:val="18"/>
      <w:szCs w:val="18"/>
      <w:lang w:val="en-US" w:bidi="ar-SA" w:eastAsia="zh-CN"/>
    </w:rPr>
  </w:style>
  <w:style w:type="paragraph" w:styleId="style31">
    <w:name w:val="header"/>
    <w:basedOn w:val="style0"/>
    <w:next w:val="style4094"/>
    <w:qFormat/>
    <w:pPr>
      <w:widowControl w:val="false"/>
      <w:pBdr>
        <w:bottom w:val="single" w:sz="6" w:space="1" w:color="000000"/>
      </w:pBdr>
      <w:tabs>
        <w:tab w:val="center" w:leader="none" w:pos="4140"/>
        <w:tab w:val="right" w:leader="none" w:pos="8300"/>
      </w:tabs>
      <w:spacing w:after="0"/>
      <w:jc w:val="center"/>
    </w:pPr>
    <w:rPr>
      <w:rFonts w:ascii="Times New Roman" w:cs="Times New Roman" w:eastAsia="宋体" w:hAnsi="Times New Roman"/>
      <w:kern w:val="2"/>
      <w:sz w:val="18"/>
      <w:szCs w:val="18"/>
      <w:lang w:val="en-US" w:bidi="ar-SA" w:eastAsia="zh-CN"/>
    </w:rPr>
  </w:style>
  <w:style w:type="paragraph" w:customStyle="1" w:styleId="style4098">
    <w:name w:val="&quot;BodyText1I&quot;"/>
    <w:next w:val="style4094"/>
    <w:qFormat/>
    <w:pPr>
      <w:widowControl w:val="false"/>
      <w:tabs>
        <w:tab w:val="left" w:leader="none" w:pos="280"/>
      </w:tabs>
      <w:spacing w:after="0" w:lineRule="exact" w:line="500"/>
      <w:ind w:firstLine="420"/>
      <w:jc w:val="both"/>
    </w:pPr>
    <w:rPr>
      <w:rFonts w:ascii="Times New Roman" w:cs="Times New Roman" w:eastAsia="宋体" w:hAnsi="Times New Roman"/>
      <w:kern w:val="2"/>
      <w:sz w:val="21"/>
      <w:szCs w:val="28"/>
      <w:lang w:val="en-US" w:bidi="ar-SA" w:eastAsia="zh-C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1392</Words>
  <Characters>1448</Characters>
  <Application>WPS Office</Application>
  <Paragraphs>48</Paragraphs>
  <CharactersWithSpaces>1448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2026-10-03T13:16:17Z</dcterms:created>
  <dc:creator>PKM110</dc:creator>
  <lastModifiedBy>PKM110</lastModifiedBy>
  <dcterms:modified xsi:type="dcterms:W3CDTF">2026-10-03T13:16:50Z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e5179e3d045a4177bed90017ec98069f_21</vt:lpwstr>
  </property>
</Properties>
</file>