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6A629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079CC7BE">
      <w:pPr>
        <w:widowControl/>
        <w:spacing w:line="440" w:lineRule="exact"/>
        <w:jc w:val="center"/>
        <w:rPr>
          <w:rFonts w:ascii="宋体" w:hAnsi="宋体" w:cs="宋体"/>
          <w:kern w:val="0"/>
          <w:sz w:val="24"/>
          <w:szCs w:val="28"/>
        </w:rPr>
      </w:pPr>
      <w:bookmarkStart w:id="0" w:name="_GoBack"/>
      <w:r>
        <w:rPr>
          <w:rFonts w:hint="eastAsia" w:ascii="方正小标宋简体" w:hAnsi="黑体" w:eastAsia="方正小标宋简体" w:cs="黑体"/>
          <w:kern w:val="0"/>
          <w:sz w:val="32"/>
          <w:szCs w:val="32"/>
        </w:rPr>
        <w:t>中国铁人三项参赛运动员体检</w:t>
      </w:r>
      <w:r>
        <w:rPr>
          <w:rFonts w:hint="eastAsia" w:ascii="方正小标宋简体" w:hAnsi="黑体" w:eastAsia="方正小标宋简体" w:cs="黑体"/>
          <w:kern w:val="0"/>
          <w:sz w:val="32"/>
          <w:szCs w:val="32"/>
          <w:highlight w:val="yellow"/>
        </w:rPr>
        <w:t>指导意见</w:t>
      </w:r>
    </w:p>
    <w:bookmarkEnd w:id="0"/>
    <w:p w14:paraId="6CF48E80">
      <w:pPr>
        <w:widowControl/>
        <w:spacing w:line="440" w:lineRule="exact"/>
        <w:ind w:firstLine="560" w:firstLineChars="200"/>
        <w:jc w:val="left"/>
        <w:outlineLvl w:val="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一、体检的必要性</w:t>
      </w:r>
    </w:p>
    <w:p w14:paraId="12E509B4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一）铁人三项运动具有赛程长、强度高、赛场环境不稳定等特点。对人体的刺激是剧烈和深重的，会不可避免地发生各种急性伤病，以心血管、呼吸、中枢神经、胃肠道和运动（骨和肌肉等）系统的刺激或损害为主，重者可危及生命。</w:t>
      </w:r>
    </w:p>
    <w:p w14:paraId="30ECBE29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二）由于急性伤病具有不可预测性，因此对运动员全面身体检查、循症系统监控、积极防治伤病、建立健康档案等模式是非常重要和必要的。良好的身体状况是从事铁人三项运动的基础，在伤病状况下进行铁人三项运动，会增加运动员的健康安全风险。</w:t>
      </w:r>
    </w:p>
    <w:p w14:paraId="18729DB6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（三）为了最大程度地保障参赛运动员的健康安全，确立“超前预防”思想，特制定此体检指导意见。运动员未能按要求进行身体健康检查或检查结果不符合以下要求的，不得参赛。</w:t>
      </w:r>
    </w:p>
    <w:p w14:paraId="12AEF7EB">
      <w:pPr>
        <w:widowControl/>
        <w:spacing w:line="440" w:lineRule="exact"/>
        <w:ind w:firstLine="560" w:firstLineChars="200"/>
        <w:jc w:val="left"/>
        <w:outlineLvl w:val="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二、综合要求</w:t>
      </w:r>
    </w:p>
    <w:p w14:paraId="1ED17DE9">
      <w:pPr>
        <w:widowControl/>
        <w:spacing w:line="440" w:lineRule="exact"/>
        <w:ind w:firstLine="560" w:firstLineChars="200"/>
        <w:jc w:val="left"/>
        <w:outlineLvl w:val="0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（一）赛前体检</w:t>
      </w:r>
    </w:p>
    <w:p w14:paraId="6B8CF521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运动员必须及时了解自身的健康和体能状况，建议定期进行体检，如较长时间没有参加高强度赛事的，建议赛前进行体检（最长不超过赛前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六个月</w:t>
      </w:r>
      <w:r>
        <w:rPr>
          <w:rFonts w:hint="eastAsia" w:ascii="仿宋" w:hAnsi="仿宋" w:eastAsia="仿宋" w:cs="仿宋"/>
          <w:kern w:val="0"/>
          <w:sz w:val="28"/>
          <w:szCs w:val="28"/>
        </w:rPr>
        <w:t>），自行到“二级甲”或以上等级的医院进行体检。</w:t>
      </w:r>
    </w:p>
    <w:p w14:paraId="48B6D893">
      <w:pPr>
        <w:widowControl/>
        <w:spacing w:line="440" w:lineRule="exact"/>
        <w:ind w:firstLine="560" w:firstLineChars="200"/>
        <w:jc w:val="left"/>
        <w:outlineLvl w:val="0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（二）自我监控</w:t>
      </w:r>
    </w:p>
    <w:p w14:paraId="39D2FD6E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赛前单次体检结果正常，仅仅表示选择的体检项目所反映的身体健康状况。由于体检方法及项目所限，并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不能</w:t>
      </w:r>
      <w:r>
        <w:rPr>
          <w:rFonts w:hint="eastAsia" w:ascii="仿宋" w:hAnsi="仿宋" w:eastAsia="仿宋" w:cs="仿宋"/>
          <w:kern w:val="0"/>
          <w:sz w:val="28"/>
          <w:szCs w:val="28"/>
        </w:rPr>
        <w:t>完全排除身体潜在的风险；由于“人身体状况的可变性”，更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不能</w:t>
      </w:r>
      <w:r>
        <w:rPr>
          <w:rFonts w:hint="eastAsia" w:ascii="仿宋" w:hAnsi="仿宋" w:eastAsia="仿宋" w:cs="仿宋"/>
          <w:kern w:val="0"/>
          <w:sz w:val="28"/>
          <w:szCs w:val="28"/>
        </w:rPr>
        <w:t>证明运动员完全有能力安全完成比赛。因此每位参赛运动员必须做到：</w:t>
      </w:r>
    </w:p>
    <w:p w14:paraId="1D628DD7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1．赛前主动确保自身状况良好，没有感冒、发热、病毒性或细菌性扁桃体炎、咽喉炎、胃肠炎、其它急慢性伤病等。</w:t>
      </w:r>
    </w:p>
    <w:p w14:paraId="2D55E9E4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2．运动员在比赛中，应时刻保持对自身身体状况的监控，如出现胸闷、胸痛、心慌、恶心、呼吸困难、异常疲劳等情况，应立即停止比赛，并向最近的医疗点或赛事工作人员寻求帮助。</w:t>
      </w:r>
    </w:p>
    <w:p w14:paraId="5DC989A9">
      <w:pPr>
        <w:widowControl/>
        <w:spacing w:line="440" w:lineRule="exact"/>
        <w:ind w:firstLine="560" w:firstLineChars="200"/>
        <w:jc w:val="left"/>
        <w:outlineLvl w:val="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三、体检项目</w:t>
      </w:r>
    </w:p>
    <w:p w14:paraId="30AB20D4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以下体检项目是根据铁人三项运动中的常见急性伤病所设：</w:t>
      </w:r>
    </w:p>
    <w:p w14:paraId="6F2CAF80">
      <w:pPr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内外科一般检查（所有运动员）</w:t>
      </w:r>
    </w:p>
    <w:p w14:paraId="25D5CEB8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重点询问和甄别参赛运动员有无以下情况：</w:t>
      </w:r>
    </w:p>
    <w:p w14:paraId="75C149F6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1．心血管系统疾病，如高血压、瓣膜病、冠心病、心肌病；</w:t>
      </w:r>
    </w:p>
    <w:p w14:paraId="1E6FDE00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2．中枢神经系统疾病，如癫痫、严重神经衰弱综合征；</w:t>
      </w:r>
    </w:p>
    <w:p w14:paraId="7DF033B7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3．猝死等家族史；</w:t>
      </w:r>
    </w:p>
    <w:p w14:paraId="0CC7EDDF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4．运动性应激性或急性伤病的既往史；</w:t>
      </w:r>
    </w:p>
    <w:p w14:paraId="00A667A0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5．呼吸系统疾病，如过敏性支气管哮喘、急或慢性呼吸道感染；</w:t>
      </w:r>
    </w:p>
    <w:p w14:paraId="48E241A2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6．胃肠道疾病，如消化道溃疡活动期。</w:t>
      </w:r>
    </w:p>
    <w:p w14:paraId="7007825D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（二）血压检查（仅13岁以上运动员）</w:t>
      </w:r>
    </w:p>
    <w:p w14:paraId="1CDDA0E1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1．50岁以下的运动员：收缩压≤130mmHg（17.3KPa），舒张压≤85mmHg（11.3KPa）；</w:t>
      </w:r>
    </w:p>
    <w:p w14:paraId="2C2F9B47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2．50岁以上（包括50岁）的运动员：收缩压≤140mmHg（18.6KPa），舒张压≤90mmHg（12KPa）。</w:t>
      </w:r>
    </w:p>
    <w:p w14:paraId="6FA573E7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（三）心电图检查（所有运动员）</w:t>
      </w:r>
    </w:p>
    <w:p w14:paraId="70B0C03A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心电图报告须经医师诊断，评估标准如下：</w:t>
      </w:r>
    </w:p>
    <w:p w14:paraId="59C347A6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1．正常心电图（经医院确诊无明显异常）：</w:t>
      </w:r>
    </w:p>
    <w:p w14:paraId="1AA152F8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（1）窦性心律；</w:t>
      </w:r>
    </w:p>
    <w:p w14:paraId="263C5B2E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（2）成人心率40～100次/分（专业运动员心率可低于40次/分）。</w:t>
      </w:r>
    </w:p>
    <w:p w14:paraId="55AEA115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2．不符合参赛条件的异常心电图包括但不限于：</w:t>
      </w:r>
    </w:p>
    <w:p w14:paraId="25F262C5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（1）窦性心动过速，成人心率＞100次/分；室性心动过速；</w:t>
      </w:r>
    </w:p>
    <w:p w14:paraId="72EBF2DE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（2）频发的窦性心律不齐；</w:t>
      </w:r>
    </w:p>
    <w:p w14:paraId="1F46EB8A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（3）窦性停搏；房性、交界性、室性期前收缩或逸搏；</w:t>
      </w:r>
    </w:p>
    <w:p w14:paraId="4488A2EE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（4）病态窦房结综合症；</w:t>
      </w:r>
    </w:p>
    <w:p w14:paraId="537E2C6F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（5）Ⅱ度及以上的窦房、房室传导、左束支传导等阻滞；</w:t>
      </w:r>
    </w:p>
    <w:p w14:paraId="0BCBCB3D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（6）预激综合征；</w:t>
      </w:r>
    </w:p>
    <w:p w14:paraId="6C19EBE2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（7）心肌缺血，ST段缺血型降低（包括水平型、下垂型、弓背型、下陷型、近似缺血型），T波改变（包括低平、双向、倒置），Q－T间期延长，U波倒置，心律失常等；</w:t>
      </w:r>
    </w:p>
    <w:p w14:paraId="5E2475EA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（8）其他心电图异常，如房颤。</w:t>
      </w:r>
    </w:p>
    <w:p w14:paraId="3C26E982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（四）“血生化全项”（可酌情加做）</w:t>
      </w:r>
    </w:p>
    <w:p w14:paraId="06A3ACFB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判断肝肾功能，血糖血脂、血清离子、心肌酶谱等的情况。</w:t>
      </w:r>
    </w:p>
    <w:p w14:paraId="3861896C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（五）“彩色超声心动图”（可酌情加做）</w:t>
      </w:r>
    </w:p>
    <w:p w14:paraId="41097656">
      <w:pPr>
        <w:widowControl/>
        <w:spacing w:line="440" w:lineRule="exact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  <w:sectPr>
          <w:pgSz w:w="11906" w:h="16838"/>
          <w:pgMar w:top="1440" w:right="1417" w:bottom="1440" w:left="1417" w:header="851" w:footer="737" w:gutter="0"/>
          <w:cols w:space="720" w:num="1"/>
          <w:docGrid w:type="linesAndChars" w:linePitch="312" w:charSpace="0"/>
        </w:sectPr>
      </w:pPr>
      <w:r>
        <w:rPr>
          <w:rFonts w:hint="eastAsia" w:ascii="仿宋" w:hAnsi="仿宋" w:eastAsia="仿宋" w:cs="仿宋"/>
          <w:kern w:val="0"/>
          <w:sz w:val="28"/>
          <w:szCs w:val="28"/>
        </w:rPr>
        <w:t>判断心室、心房、瓣膜、心肌及其运动（收缩能力和顺应性）、射血分数及心输出量等的情况，规避心脏结构紊乱</w:t>
      </w:r>
    </w:p>
    <w:p w14:paraId="17B7B3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D05C0"/>
    <w:rsid w:val="453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2026-10-11T06:36:00Z</dcterms:created>
  <dc:creator>Clarance</dc:creator>
  <cp:lastModifiedBy>Clarance</cp:lastModifiedBy>
  <dcterms:modified xsi:type="dcterms:W3CDTF">2026-10-11T06:36:44Z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A69FAD60FBF74A7182D5817B3C6ACB5A_11</vt:lpwstr>
  </property>
  <property fmtid="{D5CDD505-2E9C-101B-9397-08002B2CF9AE}" pid="4" name="KSOTemplateDocerSaveRecord">
    <vt:lpwstr>eyJoZGlkIjoiOTliNDdmNDFjZGJhYzg4Yjg3MTQzMzNhMWZjMjM5NmYiLCJ1c2VySWQiOiI0NjkwMzExNTQifQ==</vt:lpwstr>
  </property>
</Properties>
</file>