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05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</w:rPr>
        <w:t>附件2：</w:t>
      </w:r>
    </w:p>
    <w:p w14:paraId="15BADD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方正小标宋简体" w:hAnsi="黑体" w:eastAsia="方正小标宋简体" w:cs="黑体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kern w:val="0"/>
          <w:sz w:val="28"/>
          <w:szCs w:val="28"/>
          <w:highlight w:val="none"/>
        </w:rPr>
        <w:t>中国铁人三项运动协会参赛运动员体检指导意见</w:t>
      </w:r>
    </w:p>
    <w:bookmarkEnd w:id="0"/>
    <w:p w14:paraId="19CE18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rPr>
          <w:rFonts w:ascii="宋体" w:hAnsi="宋体" w:cs="宋体"/>
          <w:color w:val="auto"/>
          <w:kern w:val="0"/>
          <w:sz w:val="24"/>
          <w:szCs w:val="28"/>
          <w:highlight w:val="none"/>
        </w:rPr>
      </w:pPr>
    </w:p>
    <w:p w14:paraId="4D69C8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一、体检的必要性</w:t>
      </w:r>
    </w:p>
    <w:p w14:paraId="535189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一）铁人三项运动具有赛程长、强度高、赛场环境不稳定等特点。对人体的刺激是剧烈和深重的，会不可避免地发生各种急性伤病，以心血管、呼吸、中枢神经、胃肠道和运动（骨和肌肉等）系统的刺激或损害为主，重者可危及生命。</w:t>
      </w:r>
    </w:p>
    <w:p w14:paraId="4DEDD6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二）由于急性伤病具有不可预测性，因此对运动员全面身体检查、循症系统监控、积极防治伤病、建立健康档案等模式是非常重要和必要的。良好的身体状况是从事铁人三项运动的基础，在伤病状况下进行铁人三项运动，会增加运动员的健康安全风险。</w:t>
      </w:r>
    </w:p>
    <w:p w14:paraId="2645C1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（三）为了最大程度地保障参赛运动员的健康安全，确立“超前预防”思想，特制定此体检指导意见。运动员未能按要求进行身体健康检查或检查结果不符合以下要求的，不得参赛。</w:t>
      </w:r>
    </w:p>
    <w:p w14:paraId="354083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二、综合要求</w:t>
      </w:r>
    </w:p>
    <w:p w14:paraId="2AA01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（一）赛前体检</w:t>
      </w:r>
    </w:p>
    <w:p w14:paraId="49CE83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运动员必须及时了解自身的健康和体能状况，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建议定期进行体检，如较长时间没有参加高强度赛事的，建议赛前进行体检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（最长不超过赛前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六个月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），自行到“二级甲”或以上等级的医院进行体检。</w:t>
      </w:r>
    </w:p>
    <w:p w14:paraId="5C0DC4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（二）自我监控</w:t>
      </w:r>
    </w:p>
    <w:p w14:paraId="5DA64B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赛前单次体检结果正常，仅仅表示选择的体检项目所反映的身体健康状况。由于体检方法及项目所限，并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不能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完全排除身体潜在的风险；由于“人身体状况的可变性”，更</w:t>
      </w: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不能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证明运动员完全有能力安全完成比赛。因此每位参赛运动员必须做到：</w:t>
      </w:r>
    </w:p>
    <w:p w14:paraId="6FBCF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1．赛前主动确保自身状况良好，没有感冒、发热、病毒性或细菌性扁桃体炎、咽喉炎、胃肠炎、其它急慢性伤病等。</w:t>
      </w:r>
    </w:p>
    <w:p w14:paraId="74627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2．运动员在比赛中，应时刻保持对自身身体状况的监控，如出现胸闷、胸痛、心慌、恶心、呼吸困难、异常疲劳等情况，应立即停止比赛，并向最近的医疗点或赛事工作人员寻求帮助。</w:t>
      </w:r>
    </w:p>
    <w:p w14:paraId="730BF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三、体检项目</w:t>
      </w:r>
    </w:p>
    <w:p w14:paraId="4196EB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以下体检项目是根据铁人三项运动中的常见急性伤病所设：</w:t>
      </w:r>
    </w:p>
    <w:p w14:paraId="1B4A0B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内外科一般检查（所有运动员）</w:t>
      </w:r>
    </w:p>
    <w:p w14:paraId="2C6EA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重点询问和甄别参赛运动员有无以下情况：</w:t>
      </w:r>
    </w:p>
    <w:p w14:paraId="3E137D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1．心血管系统疾病，如高血压、瓣膜病、冠心病、心肌病；</w:t>
      </w:r>
    </w:p>
    <w:p w14:paraId="16441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2．中枢神经系统疾病，如癫痫、严重神经衰弱综合征；</w:t>
      </w:r>
    </w:p>
    <w:p w14:paraId="5ADC53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3．猝死等家族史；</w:t>
      </w:r>
    </w:p>
    <w:p w14:paraId="55E251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4．运动性应激性或急性伤病的既往史；</w:t>
      </w:r>
    </w:p>
    <w:p w14:paraId="262081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5．呼吸系统疾病，如过敏性支气管哮喘、急或慢性呼吸道感染；</w:t>
      </w:r>
    </w:p>
    <w:p w14:paraId="7B64AA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6．胃肠道疾病，如消化道溃疡活动期。</w:t>
      </w:r>
    </w:p>
    <w:p w14:paraId="0049A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（二）血压检查（仅13岁以上运动员）</w:t>
      </w:r>
    </w:p>
    <w:p w14:paraId="6E807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1．50岁以下的运动员：收缩压≤130mmHg（17.3KPa），舒张压≤85mmHg（11.3KPa）；</w:t>
      </w:r>
    </w:p>
    <w:p w14:paraId="4E616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2．50岁以上（包括50岁）的运动员：收缩压≤140mmHg（18.6KPa），舒张压≤90mmHg（12KPa）。</w:t>
      </w:r>
    </w:p>
    <w:p w14:paraId="5BDF0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（三）心电图检查（所有运动员）</w:t>
      </w:r>
    </w:p>
    <w:p w14:paraId="477CD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心电图报告须经医师诊断，评估标准如下：</w:t>
      </w:r>
    </w:p>
    <w:p w14:paraId="20141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1．正常心电图（经医院确诊无明显异常）：</w:t>
      </w:r>
    </w:p>
    <w:p w14:paraId="36E035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（1）窦性心律；</w:t>
      </w:r>
    </w:p>
    <w:p w14:paraId="276A9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（2）成人心率40～100次/分（专业运动员心率可低于40次/分）。</w:t>
      </w:r>
    </w:p>
    <w:p w14:paraId="5BA0EE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2．不符合参赛条件的异常心电图包括但不限于：</w:t>
      </w:r>
    </w:p>
    <w:p w14:paraId="62717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（1）窦性心动过速，成人心率＞100次/分；室性心动过速；</w:t>
      </w:r>
    </w:p>
    <w:p w14:paraId="556F4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（2）频发的窦性心律不齐；</w:t>
      </w:r>
    </w:p>
    <w:p w14:paraId="758AC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（3）窦性停搏；房性、交界性、室性期前收缩或逸搏；</w:t>
      </w:r>
    </w:p>
    <w:p w14:paraId="05279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（4）病态窦房结综合症；</w:t>
      </w:r>
    </w:p>
    <w:p w14:paraId="7E0BDD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（5）Ⅱ度及以上的窦房、房室传导、左束支传导等阻滞；</w:t>
      </w:r>
    </w:p>
    <w:p w14:paraId="2AEE0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（6）预激综合征；</w:t>
      </w:r>
    </w:p>
    <w:p w14:paraId="47ED26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（7）心肌缺血，ST段缺血型降低（包括水平型、下垂型、弓背型、下陷型、近似缺血型），T波改变（包括低平、双向、倒置），Q－T间期延长，U波倒置，心律失常等；</w:t>
      </w:r>
    </w:p>
    <w:p w14:paraId="0102C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（8）其他心电图异常，如房颤。</w:t>
      </w:r>
    </w:p>
    <w:p w14:paraId="3B3FBC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（四）“血生化全项”（可酌情加做）</w:t>
      </w:r>
    </w:p>
    <w:p w14:paraId="189BF1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判断肝肾功能，血糖血脂、血清离子、心肌酶谱等的情况。</w:t>
      </w:r>
    </w:p>
    <w:p w14:paraId="094641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highlight w:val="none"/>
        </w:rPr>
        <w:t>（五）“彩色超声心动图”（可酌情加做）</w:t>
      </w:r>
    </w:p>
    <w:p w14:paraId="3CD1EF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jc w:val="left"/>
        <w:textAlignment w:val="auto"/>
        <w:rPr>
          <w:rFonts w:hint="eastAsia" w:ascii="Times New Roman" w:hAnsi="Times New Roman" w:eastAsia="仿宋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判断心室、心房、瓣膜、心肌及其运动（收缩能力和顺应性）、射血分数及心输出量等的情况，规避心脏结构紊乱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E4322"/>
    <w:rsid w:val="3D7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2025-06-06T02:45:00Z</dcterms:created>
  <dc:creator>上杉</dc:creator>
  <cp:lastModifiedBy>上杉</cp:lastModifiedBy>
  <dcterms:modified xsi:type="dcterms:W3CDTF">2025-06-06T02:48:32Z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4512DFA6DC524EEF88094C54F885F3F4_11</vt:lpwstr>
  </property>
  <property fmtid="{D5CDD505-2E9C-101B-9397-08002B2CF9AE}" pid="4" name="KSOTemplateDocerSaveRecord">
    <vt:lpwstr>eyJoZGlkIjoiY2E3OGU5NWEzMzA1MzQzN2RiNWZlMGVjYzdiNjZhYTciLCJ1c2VySWQiOiI1MzM3MzQ4MzAifQ==</vt:lpwstr>
  </property>
</Properties>
</file>